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0C50F8">
      <w:pPr>
        <w:jc w:val="both"/>
        <w:rPr>
          <w:rFonts w:hint="eastAsia" w:ascii="黑体" w:hAnsi="黑体" w:eastAsia="黑体" w:cs="黑体"/>
          <w:b/>
          <w:bCs/>
          <w:sz w:val="40"/>
          <w:szCs w:val="40"/>
          <w:lang w:val="en-US" w:eastAsia="zh-CN"/>
        </w:rPr>
      </w:pPr>
      <w:r>
        <w:drawing>
          <wp:inline distT="0" distB="0" distL="114300" distR="114300">
            <wp:extent cx="6375400" cy="8221345"/>
            <wp:effectExtent l="0" t="0" r="6350"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6375400" cy="8221345"/>
                    </a:xfrm>
                    <a:prstGeom prst="rect">
                      <a:avLst/>
                    </a:prstGeom>
                    <a:noFill/>
                    <a:ln>
                      <a:noFill/>
                    </a:ln>
                  </pic:spPr>
                </pic:pic>
              </a:graphicData>
            </a:graphic>
          </wp:inline>
        </w:drawing>
      </w:r>
    </w:p>
    <w:p w14:paraId="02B2E17E">
      <w:pPr>
        <w:jc w:val="center"/>
        <w:rPr>
          <w:rFonts w:hint="eastAsia" w:ascii="黑体" w:hAnsi="黑体" w:eastAsia="黑体" w:cs="黑体"/>
          <w:b/>
          <w:bCs/>
          <w:sz w:val="40"/>
          <w:szCs w:val="40"/>
          <w:lang w:val="en-US" w:eastAsia="zh-CN"/>
        </w:rPr>
        <w:sectPr>
          <w:pgSz w:w="11906" w:h="16838"/>
          <w:pgMar w:top="1440" w:right="1800" w:bottom="1440" w:left="850" w:header="851" w:footer="992" w:gutter="0"/>
          <w:pgNumType w:start="1"/>
          <w:cols w:space="425" w:num="1"/>
          <w:docGrid w:type="lines" w:linePitch="312" w:charSpace="0"/>
        </w:sectPr>
      </w:pPr>
    </w:p>
    <w:p w14:paraId="52E6CB74">
      <w:pPr>
        <w:pStyle w:val="12"/>
        <w:ind w:left="0" w:leftChars="0" w:firstLine="0" w:firstLineChars="0"/>
        <w:jc w:val="center"/>
        <w:rPr>
          <w:rFonts w:hint="default" w:eastAsiaTheme="minorEastAsia"/>
          <w:sz w:val="36"/>
          <w:szCs w:val="36"/>
          <w:lang w:val="en-US" w:eastAsia="zh-CN"/>
        </w:rPr>
      </w:pPr>
      <w:r>
        <w:rPr>
          <w:rFonts w:hint="eastAsia"/>
          <w:sz w:val="36"/>
          <w:szCs w:val="36"/>
          <w:lang w:val="en-US" w:eastAsia="zh-CN"/>
        </w:rPr>
        <w:t>目录</w:t>
      </w:r>
    </w:p>
    <w:p w14:paraId="7711395E">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sz w:val="36"/>
          <w:szCs w:val="36"/>
        </w:rPr>
        <w:fldChar w:fldCharType="begin"/>
      </w:r>
      <w:r>
        <w:rPr>
          <w:rFonts w:hint="eastAsia"/>
          <w:sz w:val="36"/>
          <w:szCs w:val="36"/>
        </w:rPr>
        <w:instrText xml:space="preserve">TOC \o "1-3" \h \u </w:instrText>
      </w:r>
      <w:r>
        <w:rPr>
          <w:rFonts w:hint="eastAsia"/>
          <w:sz w:val="36"/>
          <w:szCs w:val="36"/>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_Toc19976 </w:instrText>
      </w:r>
      <w:r>
        <w:rPr>
          <w:rFonts w:hint="eastAsia" w:ascii="宋体" w:hAnsi="宋体" w:eastAsia="宋体" w:cs="宋体"/>
          <w:sz w:val="28"/>
          <w:szCs w:val="28"/>
        </w:rPr>
        <w:fldChar w:fldCharType="separate"/>
      </w:r>
      <w:r>
        <w:rPr>
          <w:rFonts w:hint="eastAsia" w:ascii="宋体" w:hAnsi="宋体" w:eastAsia="宋体" w:cs="宋体"/>
          <w:sz w:val="28"/>
          <w:szCs w:val="28"/>
        </w:rPr>
        <w:t>报告编制说明</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_Toc19976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D48ADDE">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_Toc32276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董事长致辞</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_Toc32276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ED70E1D">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_Toc30318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 xml:space="preserve">1. </w:t>
      </w:r>
      <w:r>
        <w:rPr>
          <w:rFonts w:hint="eastAsia" w:ascii="宋体" w:hAnsi="宋体" w:eastAsia="宋体" w:cs="宋体"/>
          <w:sz w:val="28"/>
          <w:szCs w:val="28"/>
        </w:rPr>
        <w:t>关于我们</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_Toc30318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B3BF193">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_Toc23168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 社会责任管理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_Toc23168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33F85F93">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_Toc28184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2.1 社会责任管理体系</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_Toc28184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D3A8214">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_Toc15953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2.2 社会责任履责概述</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_Toc15953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12879C1">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_Toc3415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 行业领军，同创绿色未来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_Toc3415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6C9D23A">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_Toc32553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3.1强化环保管控</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_Toc32553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9E58AB4">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_Toc29495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3.1.1 深度治理改造，企业环保绩效升级</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_Toc29495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A870DD3">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_Toc18414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3.1.2 危险废物无害化处置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_Toc18414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3E60F96">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_Toc20180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3.1.3 废水污染治理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_Toc20180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9A8C0AC">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_Toc9204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 xml:space="preserve">3.1.4 </w:t>
      </w:r>
      <w:r>
        <w:rPr>
          <w:rFonts w:hint="eastAsia" w:ascii="宋体" w:hAnsi="宋体" w:eastAsia="宋体" w:cs="宋体"/>
          <w:sz w:val="28"/>
          <w:szCs w:val="28"/>
        </w:rPr>
        <w:t>噪声污染治理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_Toc9204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0948212">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_Toc15433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3.2 落实节能降耗</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_Toc15433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CDD11D3">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_Toc27804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3.3 资源综合利用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_Toc27804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FBEFB66">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_Toc28259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3.3.1 余热发电项目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_Toc28259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38BDA1DB">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_Toc29884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3.3.2 工业废弃资源的再利用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_Toc29884 \h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8C58A9E">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_Toc13013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3.4 产品绿色设计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_Toc13013 \h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3D6AE7F3">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_Toc26771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rPr>
        <w:t>.1</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产品的生态设计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_Toc26771 \h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02E2232">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_Toc3308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rPr>
        <w:t>.2产品的有害物质限制使用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_Toc3308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E0A3357">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_Toc19991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rPr>
        <w:t>.3可回收利用情况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_Toc19991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218D545">
      <w:pPr>
        <w:pStyle w:val="7"/>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_Toc17184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3.4.4温室气体排放</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_Toc17184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738FE85">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_Toc12502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 企业文化</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_Toc12502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7F7C58F">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_Toc24052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4.1 关爱员工，以人为本</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_Toc24052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FE05494">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_Toc7623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4.2 安全生产，制度保障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_Toc7623 \h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017A67A">
      <w:pPr>
        <w:pStyle w:val="11"/>
        <w:keepNext w:val="0"/>
        <w:keepLines w:val="0"/>
        <w:pageBreakBefore w:val="0"/>
        <w:tabs>
          <w:tab w:val="right" w:leader="dot" w:pos="8306"/>
        </w:tabs>
        <w:kinsoku/>
        <w:wordWrap/>
        <w:overflowPunct/>
        <w:topLinePunct w:val="0"/>
        <w:autoSpaceDE/>
        <w:autoSpaceDN/>
        <w:bidi w:val="0"/>
        <w:adjustRightInd/>
        <w:snapToGrid/>
        <w:spacing w:line="460" w:lineRule="exact"/>
        <w:ind w:left="0" w:leftChars="0" w:firstLine="0" w:firstLineChars="0"/>
        <w:jc w:val="lef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_Toc19198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4.3 职业健康，技术护航</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_Toc19198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E3F517C">
      <w:pPr>
        <w:pStyle w:val="10"/>
        <w:keepNext w:val="0"/>
        <w:keepLines w:val="0"/>
        <w:pageBreakBefore w:val="0"/>
        <w:tabs>
          <w:tab w:val="right" w:leader="dot" w:pos="8306"/>
        </w:tabs>
        <w:kinsoku/>
        <w:wordWrap/>
        <w:overflowPunct/>
        <w:topLinePunct w:val="0"/>
        <w:autoSpaceDE/>
        <w:autoSpaceDN/>
        <w:bidi w:val="0"/>
        <w:adjustRightInd/>
        <w:snapToGrid/>
        <w:spacing w:after="0" w:line="460" w:lineRule="exact"/>
        <w:ind w:left="0" w:leftChars="0" w:firstLine="0" w:firstLineChars="0"/>
        <w:jc w:val="left"/>
        <w:textAlignment w:val="auto"/>
        <w:rPr>
          <w:sz w:val="28"/>
          <w:szCs w:val="32"/>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_Toc30393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结语</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_Toc30393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4B5CD99">
      <w:pPr>
        <w:pStyle w:val="5"/>
        <w:keepNext w:val="0"/>
        <w:keepLines w:val="0"/>
        <w:pageBreakBefore w:val="0"/>
        <w:kinsoku/>
        <w:wordWrap/>
        <w:overflowPunct/>
        <w:topLinePunct w:val="0"/>
        <w:autoSpaceDE/>
        <w:autoSpaceDN/>
        <w:bidi w:val="0"/>
        <w:adjustRightInd/>
        <w:snapToGrid/>
        <w:spacing w:line="460" w:lineRule="exact"/>
        <w:textAlignment w:val="auto"/>
        <w:rPr>
          <w:rFonts w:hint="eastAsia"/>
          <w:sz w:val="24"/>
          <w:szCs w:val="32"/>
        </w:rPr>
      </w:pPr>
      <w:r>
        <w:rPr>
          <w:rFonts w:hint="eastAsia"/>
          <w:sz w:val="24"/>
          <w:szCs w:val="36"/>
        </w:rPr>
        <w:fldChar w:fldCharType="end"/>
      </w:r>
      <w:sdt>
        <w:sdtPr>
          <w:rPr>
            <w:rFonts w:ascii="宋体" w:hAnsi="宋体" w:eastAsia="宋体" w:cstheme="minorBidi"/>
            <w:kern w:val="2"/>
            <w:sz w:val="48"/>
            <w:szCs w:val="56"/>
            <w:lang w:val="en-US" w:eastAsia="zh-CN" w:bidi="ar-SA"/>
          </w:rPr>
          <w:id w:val="147463775"/>
          <w:showingPlcHdr/>
          <w15:color w:val="DBDBDB"/>
          <w:docPartObj>
            <w:docPartGallery w:val="Table of Contents"/>
            <w:docPartUnique/>
          </w:docPartObj>
        </w:sdtPr>
        <w:sdtEndPr>
          <w:rPr>
            <w:rFonts w:hint="eastAsia" w:asciiTheme="minorHAnsi" w:hAnsiTheme="minorHAnsi" w:eastAsiaTheme="minorEastAsia" w:cstheme="minorBidi"/>
            <w:b/>
            <w:bCs w:val="0"/>
            <w:kern w:val="2"/>
            <w:sz w:val="24"/>
            <w:szCs w:val="36"/>
            <w:lang w:val="en-US" w:eastAsia="zh-CN" w:bidi="ar-SA"/>
          </w:rPr>
        </w:sdtEndPr>
        <w:sdtContent/>
      </w:sdt>
    </w:p>
    <w:p w14:paraId="373E2260">
      <w:pPr>
        <w:pStyle w:val="2"/>
        <w:pageBreakBefore w:val="0"/>
        <w:kinsoku/>
        <w:wordWrap/>
        <w:overflowPunct/>
        <w:topLinePunct w:val="0"/>
        <w:autoSpaceDE/>
        <w:autoSpaceDN/>
        <w:bidi w:val="0"/>
        <w:adjustRightInd/>
        <w:snapToGrid/>
        <w:spacing w:line="460" w:lineRule="exact"/>
        <w:textAlignment w:val="auto"/>
        <w:rPr>
          <w:rFonts w:hint="eastAsia"/>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29692"/>
      <w:bookmarkStart w:id="1" w:name="_Toc6992"/>
    </w:p>
    <w:p w14:paraId="1C413D06">
      <w:pPr>
        <w:pStyle w:val="2"/>
        <w:bidi w:val="0"/>
        <w:rPr>
          <w:rFonts w:asciiTheme="minorHAnsi" w:hAnsiTheme="minorHAnsi" w:eastAsiaTheme="minorEastAsia" w:cstheme="minorBidi"/>
          <w:b/>
          <w:bCs/>
          <w:kern w:val="2"/>
          <w:sz w:val="28"/>
          <w:szCs w:val="28"/>
          <w:lang w:val="en-US" w:eastAsia="zh-CN" w:bidi="ar-SA"/>
        </w:rPr>
      </w:pPr>
      <w:bookmarkStart w:id="2" w:name="_Toc19976"/>
      <w:r>
        <w:rPr>
          <w:rFonts w:hint="eastAsia" w:asciiTheme="minorHAnsi" w:hAnsiTheme="minorHAnsi" w:eastAsiaTheme="minorEastAsia" w:cstheme="minorBidi"/>
          <w:b/>
          <w:bCs/>
          <w:kern w:val="2"/>
          <w:sz w:val="28"/>
          <w:szCs w:val="28"/>
          <w:lang w:val="en-US" w:eastAsia="zh-CN" w:bidi="ar-SA"/>
        </w:rPr>
        <w:t>报告编制说明</w:t>
      </w:r>
      <w:bookmarkEnd w:id="0"/>
      <w:bookmarkEnd w:id="1"/>
      <w:bookmarkEnd w:id="2"/>
      <w:r>
        <w:rPr>
          <w:rFonts w:asciiTheme="minorHAnsi" w:hAnsiTheme="minorHAnsi" w:eastAsiaTheme="minorEastAsia" w:cstheme="minorBidi"/>
          <w:b/>
          <w:bCs/>
          <w:kern w:val="2"/>
          <w:sz w:val="28"/>
          <w:szCs w:val="28"/>
          <w:lang w:val="en-US" w:eastAsia="zh-CN" w:bidi="ar-SA"/>
        </w:rPr>
        <w:t xml:space="preserve"> </w:t>
      </w:r>
    </w:p>
    <w:p w14:paraId="33039C47">
      <w:pPr>
        <w:ind w:firstLine="560" w:firstLineChars="200"/>
        <w:rPr>
          <w:sz w:val="28"/>
          <w:szCs w:val="28"/>
        </w:rPr>
      </w:pPr>
      <w:r>
        <w:rPr>
          <w:rFonts w:hint="eastAsia"/>
          <w:sz w:val="28"/>
          <w:szCs w:val="28"/>
        </w:rPr>
        <w:t>本报告是</w:t>
      </w:r>
      <w:r>
        <w:rPr>
          <w:rFonts w:hint="eastAsia"/>
          <w:sz w:val="28"/>
          <w:szCs w:val="28"/>
          <w:lang w:val="en-US" w:eastAsia="zh-CN"/>
        </w:rPr>
        <w:t>侯马市汇丰建材有限责任公司</w:t>
      </w:r>
      <w:r>
        <w:rPr>
          <w:rFonts w:hint="eastAsia"/>
          <w:sz w:val="28"/>
          <w:szCs w:val="28"/>
        </w:rPr>
        <w:t>积极履行经济、社会和环境责任，实现全面协调可持</w:t>
      </w:r>
      <w:r>
        <w:rPr>
          <w:sz w:val="28"/>
          <w:szCs w:val="28"/>
        </w:rPr>
        <w:t>续发展的真实反映。</w:t>
      </w:r>
    </w:p>
    <w:p w14:paraId="1FAF06B0">
      <w:pPr>
        <w:outlineLvl w:val="1"/>
        <w:rPr>
          <w:b/>
          <w:bCs/>
          <w:sz w:val="28"/>
          <w:szCs w:val="28"/>
        </w:rPr>
      </w:pPr>
      <w:bookmarkStart w:id="3" w:name="_Toc28757"/>
      <w:bookmarkStart w:id="4" w:name="_Toc4480"/>
      <w:bookmarkStart w:id="5" w:name="_Toc14291"/>
      <w:bookmarkStart w:id="6" w:name="_Toc8970"/>
      <w:r>
        <w:rPr>
          <w:b/>
          <w:bCs/>
          <w:sz w:val="28"/>
          <w:szCs w:val="28"/>
        </w:rPr>
        <w:t>时间范围</w:t>
      </w:r>
      <w:bookmarkEnd w:id="3"/>
      <w:bookmarkEnd w:id="4"/>
      <w:bookmarkEnd w:id="5"/>
      <w:bookmarkEnd w:id="6"/>
      <w:r>
        <w:rPr>
          <w:b/>
          <w:bCs/>
          <w:sz w:val="28"/>
          <w:szCs w:val="28"/>
        </w:rPr>
        <w:t xml:space="preserve"> </w:t>
      </w:r>
    </w:p>
    <w:p w14:paraId="73D85248">
      <w:pPr>
        <w:ind w:firstLine="560" w:firstLineChars="200"/>
        <w:rPr>
          <w:sz w:val="28"/>
          <w:szCs w:val="28"/>
        </w:rPr>
      </w:pPr>
      <w:r>
        <w:rPr>
          <w:rFonts w:hint="eastAsia"/>
          <w:sz w:val="28"/>
          <w:szCs w:val="28"/>
          <w:lang w:val="en-US" w:eastAsia="zh-CN"/>
        </w:rPr>
        <w:t>2024</w:t>
      </w:r>
      <w:r>
        <w:rPr>
          <w:sz w:val="28"/>
          <w:szCs w:val="28"/>
        </w:rPr>
        <w:t xml:space="preserve">年 1 月 1 日至 12月 31 日，部分内容超出上述范围。     </w:t>
      </w:r>
    </w:p>
    <w:p w14:paraId="2BD3D5D2">
      <w:pPr>
        <w:rPr>
          <w:sz w:val="28"/>
          <w:szCs w:val="28"/>
        </w:rPr>
      </w:pPr>
      <w:r>
        <w:rPr>
          <w:b/>
          <w:bCs/>
          <w:sz w:val="28"/>
          <w:szCs w:val="28"/>
        </w:rPr>
        <w:t xml:space="preserve">报告范围 </w:t>
      </w:r>
    </w:p>
    <w:p w14:paraId="77B7D770">
      <w:pPr>
        <w:ind w:firstLine="560" w:firstLineChars="200"/>
        <w:rPr>
          <w:sz w:val="28"/>
          <w:szCs w:val="28"/>
        </w:rPr>
      </w:pPr>
      <w:r>
        <w:rPr>
          <w:rFonts w:hint="eastAsia"/>
          <w:sz w:val="28"/>
          <w:szCs w:val="28"/>
          <w:lang w:val="en-US" w:eastAsia="zh-CN"/>
        </w:rPr>
        <w:t>本</w:t>
      </w:r>
      <w:r>
        <w:rPr>
          <w:sz w:val="28"/>
          <w:szCs w:val="28"/>
        </w:rPr>
        <w:t>报告所有案例与资料均来源于</w:t>
      </w:r>
      <w:r>
        <w:rPr>
          <w:rFonts w:hint="eastAsia"/>
          <w:sz w:val="28"/>
          <w:szCs w:val="28"/>
          <w:lang w:val="en-US" w:eastAsia="zh-CN"/>
        </w:rPr>
        <w:t>侯马市汇丰建材</w:t>
      </w:r>
      <w:r>
        <w:rPr>
          <w:rFonts w:hint="eastAsia"/>
          <w:sz w:val="28"/>
          <w:szCs w:val="28"/>
        </w:rPr>
        <w:t>有限责任公司</w:t>
      </w:r>
      <w:r>
        <w:rPr>
          <w:sz w:val="28"/>
          <w:szCs w:val="28"/>
        </w:rPr>
        <w:t xml:space="preserve">。 </w:t>
      </w:r>
    </w:p>
    <w:p w14:paraId="5BE5BED5">
      <w:pPr>
        <w:outlineLvl w:val="1"/>
        <w:rPr>
          <w:b/>
          <w:bCs/>
          <w:sz w:val="28"/>
          <w:szCs w:val="28"/>
        </w:rPr>
      </w:pPr>
      <w:bookmarkStart w:id="7" w:name="_Toc11026"/>
      <w:bookmarkStart w:id="8" w:name="_Toc7711"/>
      <w:bookmarkStart w:id="9" w:name="_Toc14362"/>
      <w:bookmarkStart w:id="10" w:name="_Toc25788"/>
      <w:r>
        <w:rPr>
          <w:b/>
          <w:bCs/>
          <w:sz w:val="28"/>
          <w:szCs w:val="28"/>
        </w:rPr>
        <w:t>数据来源</w:t>
      </w:r>
      <w:bookmarkEnd w:id="7"/>
      <w:bookmarkEnd w:id="8"/>
      <w:bookmarkEnd w:id="9"/>
      <w:bookmarkEnd w:id="10"/>
      <w:r>
        <w:rPr>
          <w:b/>
          <w:bCs/>
          <w:sz w:val="28"/>
          <w:szCs w:val="28"/>
        </w:rPr>
        <w:t xml:space="preserve"> </w:t>
      </w:r>
    </w:p>
    <w:p w14:paraId="6582D7B2">
      <w:pPr>
        <w:ind w:firstLine="560" w:firstLineChars="200"/>
        <w:rPr>
          <w:sz w:val="28"/>
          <w:szCs w:val="28"/>
        </w:rPr>
      </w:pPr>
      <w:r>
        <w:rPr>
          <w:rFonts w:hint="eastAsia"/>
          <w:sz w:val="28"/>
          <w:szCs w:val="28"/>
        </w:rPr>
        <w:t>报告中所包括的数据与信息均来自</w:t>
      </w:r>
      <w:r>
        <w:rPr>
          <w:rFonts w:hint="eastAsia"/>
          <w:sz w:val="28"/>
          <w:szCs w:val="28"/>
          <w:lang w:val="en-US" w:eastAsia="zh-CN"/>
        </w:rPr>
        <w:t>侯马市汇丰建材</w:t>
      </w:r>
      <w:r>
        <w:rPr>
          <w:rFonts w:hint="eastAsia"/>
          <w:sz w:val="28"/>
          <w:szCs w:val="28"/>
        </w:rPr>
        <w:t>有限责任公司内部相关数据收集与统计系统、报告编制的定</w:t>
      </w:r>
      <w:r>
        <w:rPr>
          <w:sz w:val="28"/>
          <w:szCs w:val="28"/>
        </w:rPr>
        <w:t>性及定量信息收集工具以及各</w:t>
      </w:r>
      <w:r>
        <w:rPr>
          <w:rFonts w:hint="eastAsia"/>
          <w:sz w:val="28"/>
          <w:szCs w:val="28"/>
        </w:rPr>
        <w:t>部</w:t>
      </w:r>
      <w:r>
        <w:rPr>
          <w:rFonts w:hint="eastAsia"/>
          <w:sz w:val="28"/>
          <w:szCs w:val="28"/>
          <w:lang w:val="en-US" w:eastAsia="zh-CN"/>
        </w:rPr>
        <w:t>门</w:t>
      </w:r>
      <w:r>
        <w:rPr>
          <w:sz w:val="28"/>
          <w:szCs w:val="28"/>
        </w:rPr>
        <w:t xml:space="preserve">报送的社会责任实践案例。 </w:t>
      </w:r>
    </w:p>
    <w:p w14:paraId="71C4A5EF">
      <w:pPr>
        <w:outlineLvl w:val="1"/>
        <w:rPr>
          <w:b/>
          <w:bCs/>
          <w:sz w:val="28"/>
          <w:szCs w:val="28"/>
        </w:rPr>
      </w:pPr>
      <w:bookmarkStart w:id="11" w:name="_Toc814"/>
      <w:bookmarkStart w:id="12" w:name="_Toc13761"/>
      <w:bookmarkStart w:id="13" w:name="_Toc5460"/>
      <w:bookmarkStart w:id="14" w:name="_Toc26820"/>
      <w:r>
        <w:rPr>
          <w:b/>
          <w:bCs/>
          <w:sz w:val="28"/>
          <w:szCs w:val="28"/>
        </w:rPr>
        <w:t>编制依据</w:t>
      </w:r>
      <w:bookmarkEnd w:id="11"/>
      <w:bookmarkEnd w:id="12"/>
      <w:bookmarkEnd w:id="13"/>
      <w:bookmarkEnd w:id="14"/>
      <w:r>
        <w:rPr>
          <w:b/>
          <w:bCs/>
          <w:sz w:val="28"/>
          <w:szCs w:val="28"/>
        </w:rPr>
        <w:t xml:space="preserve"> </w:t>
      </w:r>
    </w:p>
    <w:p w14:paraId="54DF46D3">
      <w:pPr>
        <w:ind w:firstLine="560" w:firstLineChars="200"/>
        <w:rPr>
          <w:sz w:val="28"/>
          <w:szCs w:val="28"/>
        </w:rPr>
      </w:pPr>
      <w:r>
        <w:rPr>
          <w:rFonts w:hint="eastAsia"/>
          <w:sz w:val="28"/>
          <w:szCs w:val="28"/>
        </w:rPr>
        <w:t>报告编写力求符合业界通行的社会责任资讯披露相关标淮，同时立足行业背景，突出企业</w:t>
      </w:r>
      <w:r>
        <w:rPr>
          <w:sz w:val="28"/>
          <w:szCs w:val="28"/>
        </w:rPr>
        <w:t xml:space="preserve">特色，报告编著主要参考中国水泥协会《水泥企业社会责任报告编写指南》。 </w:t>
      </w:r>
    </w:p>
    <w:p w14:paraId="5F665278">
      <w:pPr>
        <w:outlineLvl w:val="1"/>
        <w:rPr>
          <w:b/>
          <w:bCs/>
          <w:sz w:val="28"/>
          <w:szCs w:val="28"/>
        </w:rPr>
      </w:pPr>
      <w:bookmarkStart w:id="15" w:name="_Toc28051"/>
      <w:bookmarkStart w:id="16" w:name="_Toc17805"/>
      <w:bookmarkStart w:id="17" w:name="_Toc26998"/>
      <w:bookmarkStart w:id="18" w:name="_Toc17387"/>
      <w:r>
        <w:rPr>
          <w:b/>
          <w:bCs/>
          <w:sz w:val="28"/>
          <w:szCs w:val="28"/>
        </w:rPr>
        <w:t>报告称谓</w:t>
      </w:r>
      <w:bookmarkEnd w:id="15"/>
      <w:bookmarkEnd w:id="16"/>
      <w:bookmarkEnd w:id="17"/>
      <w:bookmarkEnd w:id="18"/>
      <w:r>
        <w:rPr>
          <w:b/>
          <w:bCs/>
          <w:sz w:val="28"/>
          <w:szCs w:val="28"/>
        </w:rPr>
        <w:t xml:space="preserve"> </w:t>
      </w:r>
    </w:p>
    <w:p w14:paraId="54668802">
      <w:pPr>
        <w:ind w:firstLine="560" w:firstLineChars="200"/>
        <w:rPr>
          <w:sz w:val="28"/>
          <w:szCs w:val="28"/>
        </w:rPr>
      </w:pPr>
      <w:r>
        <w:rPr>
          <w:sz w:val="28"/>
          <w:szCs w:val="28"/>
        </w:rPr>
        <w:t>为便</w:t>
      </w:r>
      <w:r>
        <w:rPr>
          <w:rFonts w:hint="eastAsia"/>
          <w:sz w:val="28"/>
          <w:szCs w:val="28"/>
        </w:rPr>
        <w:t>于表述和方便阅读，在本报告中</w:t>
      </w:r>
      <w:r>
        <w:rPr>
          <w:rFonts w:hint="eastAsia"/>
          <w:sz w:val="28"/>
          <w:szCs w:val="28"/>
          <w:lang w:val="en-US" w:eastAsia="zh-CN"/>
        </w:rPr>
        <w:t>侯马市汇丰建材</w:t>
      </w:r>
      <w:r>
        <w:rPr>
          <w:rFonts w:hint="eastAsia"/>
          <w:sz w:val="28"/>
          <w:szCs w:val="28"/>
        </w:rPr>
        <w:t>有限责任公司也以“</w:t>
      </w:r>
      <w:r>
        <w:rPr>
          <w:rFonts w:hint="eastAsia"/>
          <w:sz w:val="28"/>
          <w:szCs w:val="28"/>
          <w:lang w:val="en-US" w:eastAsia="zh-CN"/>
        </w:rPr>
        <w:t>汇丰</w:t>
      </w:r>
      <w:r>
        <w:rPr>
          <w:rFonts w:hint="eastAsia"/>
          <w:sz w:val="28"/>
          <w:szCs w:val="28"/>
        </w:rPr>
        <w:t>公司”</w:t>
      </w:r>
      <w:r>
        <w:rPr>
          <w:sz w:val="28"/>
          <w:szCs w:val="28"/>
        </w:rPr>
        <w:t xml:space="preserve"> </w:t>
      </w:r>
      <w:r>
        <w:rPr>
          <w:rFonts w:hint="eastAsia"/>
          <w:sz w:val="28"/>
          <w:szCs w:val="28"/>
        </w:rPr>
        <w:t>“公司”</w:t>
      </w:r>
      <w:r>
        <w:rPr>
          <w:sz w:val="28"/>
          <w:szCs w:val="28"/>
        </w:rPr>
        <w:t>或</w:t>
      </w:r>
      <w:r>
        <w:rPr>
          <w:rFonts w:hint="eastAsia"/>
          <w:sz w:val="28"/>
          <w:szCs w:val="28"/>
          <w:lang w:eastAsia="zh-CN"/>
        </w:rPr>
        <w:t>“</w:t>
      </w:r>
      <w:r>
        <w:rPr>
          <w:sz w:val="28"/>
          <w:szCs w:val="28"/>
        </w:rPr>
        <w:t>我们</w:t>
      </w:r>
      <w:r>
        <w:rPr>
          <w:rFonts w:hint="eastAsia"/>
          <w:sz w:val="28"/>
          <w:szCs w:val="28"/>
          <w:lang w:eastAsia="zh-CN"/>
        </w:rPr>
        <w:t>”</w:t>
      </w:r>
      <w:r>
        <w:rPr>
          <w:sz w:val="28"/>
          <w:szCs w:val="28"/>
        </w:rPr>
        <w:t xml:space="preserve">表示。 </w:t>
      </w:r>
    </w:p>
    <w:p w14:paraId="4FAD3C84">
      <w:pPr>
        <w:pStyle w:val="5"/>
        <w:rPr>
          <w:rFonts w:hint="eastAsia"/>
          <w:sz w:val="28"/>
          <w:szCs w:val="28"/>
        </w:rPr>
      </w:pPr>
    </w:p>
    <w:p w14:paraId="3583D353">
      <w:pPr>
        <w:pStyle w:val="5"/>
        <w:rPr>
          <w:rFonts w:hint="eastAsia"/>
          <w:sz w:val="28"/>
          <w:szCs w:val="28"/>
        </w:rPr>
      </w:pPr>
    </w:p>
    <w:p w14:paraId="093B6DB5">
      <w:pPr>
        <w:pStyle w:val="5"/>
        <w:rPr>
          <w:rFonts w:hint="eastAsia"/>
          <w:sz w:val="28"/>
          <w:szCs w:val="28"/>
        </w:rPr>
      </w:pPr>
    </w:p>
    <w:p w14:paraId="7CD50C40">
      <w:pPr>
        <w:pStyle w:val="2"/>
        <w:bidi w:val="0"/>
        <w:rPr>
          <w:rFonts w:hint="eastAsia"/>
          <w:lang w:val="en-US" w:eastAsia="zh-CN"/>
        </w:rPr>
      </w:pPr>
      <w:bookmarkStart w:id="19" w:name="_Toc16355"/>
      <w:bookmarkStart w:id="20" w:name="_Toc31167"/>
      <w:bookmarkStart w:id="21" w:name="_Toc32276"/>
      <w:bookmarkStart w:id="22" w:name="_Toc34143374"/>
      <w:r>
        <w:rPr>
          <w:rFonts w:hint="eastAsia"/>
          <w:lang w:val="en-US" w:eastAsia="zh-CN"/>
        </w:rPr>
        <w:t>董事长致辞</w:t>
      </w:r>
      <w:bookmarkEnd w:id="19"/>
      <w:bookmarkEnd w:id="20"/>
      <w:bookmarkEnd w:id="21"/>
      <w:r>
        <w:rPr>
          <w:rFonts w:hint="eastAsia"/>
          <w:lang w:val="en-US" w:eastAsia="zh-CN"/>
        </w:rPr>
        <w:t>：</w:t>
      </w:r>
    </w:p>
    <w:p w14:paraId="6AE094D4">
      <w:pPr>
        <w:ind w:firstLine="560" w:firstLineChars="200"/>
        <w:rPr>
          <w:rFonts w:hint="eastAsia" w:eastAsiaTheme="minorEastAsia"/>
          <w:sz w:val="28"/>
          <w:szCs w:val="28"/>
          <w:lang w:eastAsia="zh-CN"/>
        </w:rPr>
      </w:pPr>
      <w:r>
        <w:rPr>
          <w:rFonts w:hint="eastAsia"/>
          <w:sz w:val="28"/>
          <w:szCs w:val="28"/>
          <w:lang w:val="en-US" w:eastAsia="zh-CN"/>
        </w:rPr>
        <w:t>2024年公司</w:t>
      </w:r>
      <w:r>
        <w:rPr>
          <w:rFonts w:hint="eastAsia"/>
          <w:sz w:val="28"/>
          <w:szCs w:val="28"/>
        </w:rPr>
        <w:t>面对复杂多变的外部环境</w:t>
      </w:r>
      <w:r>
        <w:rPr>
          <w:sz w:val="28"/>
          <w:szCs w:val="28"/>
        </w:rPr>
        <w:t>，</w:t>
      </w:r>
      <w:r>
        <w:rPr>
          <w:rFonts w:hint="eastAsia"/>
          <w:sz w:val="28"/>
          <w:szCs w:val="28"/>
          <w:lang w:val="en-US" w:eastAsia="zh-CN"/>
        </w:rPr>
        <w:t>汇丰公司</w:t>
      </w:r>
      <w:r>
        <w:rPr>
          <w:sz w:val="28"/>
          <w:szCs w:val="28"/>
        </w:rPr>
        <w:t>以新发展理念为引领，</w:t>
      </w:r>
      <w:r>
        <w:rPr>
          <w:rFonts w:hint="eastAsia"/>
          <w:sz w:val="28"/>
          <w:szCs w:val="28"/>
          <w:lang w:val="en-US" w:eastAsia="zh-CN"/>
        </w:rPr>
        <w:t>认真贯彻执行国家行业政策和制度，</w:t>
      </w:r>
      <w:r>
        <w:rPr>
          <w:sz w:val="28"/>
          <w:szCs w:val="28"/>
        </w:rPr>
        <w:t>不断砥砺奋进，</w:t>
      </w:r>
      <w:r>
        <w:rPr>
          <w:sz w:val="28"/>
          <w:szCs w:val="32"/>
        </w:rPr>
        <w:t>为打造</w:t>
      </w:r>
      <w:r>
        <w:rPr>
          <w:rFonts w:hint="eastAsia"/>
          <w:sz w:val="28"/>
          <w:szCs w:val="32"/>
          <w:lang w:val="en-US" w:eastAsia="zh-CN"/>
        </w:rPr>
        <w:t>晋南地区</w:t>
      </w:r>
      <w:r>
        <w:rPr>
          <w:rFonts w:hint="eastAsia"/>
          <w:sz w:val="28"/>
          <w:szCs w:val="32"/>
          <w:lang w:eastAsia="zh-CN"/>
        </w:rPr>
        <w:t>先进</w:t>
      </w:r>
      <w:r>
        <w:rPr>
          <w:sz w:val="28"/>
          <w:szCs w:val="32"/>
        </w:rPr>
        <w:t>产业的目标</w:t>
      </w:r>
      <w:r>
        <w:rPr>
          <w:rFonts w:hint="eastAsia"/>
          <w:sz w:val="28"/>
          <w:szCs w:val="32"/>
          <w:lang w:eastAsia="zh-CN"/>
        </w:rPr>
        <w:t>写下</w:t>
      </w:r>
      <w:r>
        <w:rPr>
          <w:sz w:val="28"/>
          <w:szCs w:val="32"/>
        </w:rPr>
        <w:t>浓墨重彩的一笔</w:t>
      </w:r>
      <w:r>
        <w:rPr>
          <w:rFonts w:hint="eastAsia"/>
          <w:sz w:val="28"/>
          <w:szCs w:val="32"/>
          <w:lang w:eastAsia="zh-CN"/>
        </w:rPr>
        <w:t>。</w:t>
      </w:r>
    </w:p>
    <w:p w14:paraId="5790BD84">
      <w:pPr>
        <w:ind w:firstLine="560" w:firstLineChars="200"/>
        <w:rPr>
          <w:rFonts w:hint="default"/>
          <w:sz w:val="28"/>
          <w:szCs w:val="28"/>
          <w:lang w:val="en-US"/>
        </w:rPr>
      </w:pPr>
      <w:r>
        <w:rPr>
          <w:rFonts w:hint="eastAsia"/>
          <w:sz w:val="28"/>
          <w:szCs w:val="28"/>
        </w:rPr>
        <w:t>在过去的一年里，</w:t>
      </w:r>
      <w:r>
        <w:rPr>
          <w:rFonts w:hint="eastAsia"/>
          <w:sz w:val="28"/>
          <w:szCs w:val="28"/>
          <w:lang w:val="en-US" w:eastAsia="zh-CN"/>
        </w:rPr>
        <w:t>我们</w:t>
      </w:r>
      <w:r>
        <w:rPr>
          <w:rFonts w:hint="eastAsia"/>
          <w:sz w:val="28"/>
          <w:szCs w:val="28"/>
        </w:rPr>
        <w:t>秉承改革创新精神，主动担当、积极作为、勇于实践，将履行经济、环境、社会三个</w:t>
      </w:r>
      <w:r>
        <w:rPr>
          <w:sz w:val="28"/>
          <w:szCs w:val="28"/>
        </w:rPr>
        <w:t>责任与产业发展融为一体。我们</w:t>
      </w:r>
      <w:r>
        <w:rPr>
          <w:rFonts w:hint="eastAsia"/>
          <w:sz w:val="28"/>
          <w:szCs w:val="28"/>
          <w:lang w:val="en-US" w:eastAsia="zh-CN"/>
        </w:rPr>
        <w:t>积极</w:t>
      </w:r>
      <w:r>
        <w:rPr>
          <w:sz w:val="28"/>
          <w:szCs w:val="28"/>
        </w:rPr>
        <w:t>强化环保管控</w:t>
      </w:r>
      <w:r>
        <w:rPr>
          <w:rFonts w:hint="eastAsia"/>
          <w:sz w:val="28"/>
          <w:szCs w:val="28"/>
        </w:rPr>
        <w:t>，</w:t>
      </w:r>
      <w:r>
        <w:rPr>
          <w:sz w:val="28"/>
          <w:szCs w:val="28"/>
        </w:rPr>
        <w:t>全面健全制度体系，压实管理责任</w:t>
      </w:r>
      <w:r>
        <w:rPr>
          <w:rFonts w:hint="eastAsia"/>
          <w:sz w:val="28"/>
          <w:szCs w:val="28"/>
        </w:rPr>
        <w:t>；</w:t>
      </w:r>
      <w:r>
        <w:rPr>
          <w:sz w:val="28"/>
          <w:szCs w:val="28"/>
        </w:rPr>
        <w:t>强化开展“双控”工作，筑牢事故防线</w:t>
      </w:r>
      <w:r>
        <w:rPr>
          <w:rFonts w:hint="eastAsia"/>
          <w:sz w:val="28"/>
          <w:szCs w:val="28"/>
        </w:rPr>
        <w:t>；</w:t>
      </w:r>
      <w:r>
        <w:rPr>
          <w:sz w:val="28"/>
          <w:szCs w:val="28"/>
        </w:rPr>
        <w:t>推动企业环保</w:t>
      </w:r>
      <w:r>
        <w:rPr>
          <w:rFonts w:hint="eastAsia"/>
          <w:sz w:val="28"/>
          <w:szCs w:val="28"/>
          <w:lang w:eastAsia="zh-CN"/>
        </w:rPr>
        <w:t>绩效升级</w:t>
      </w:r>
      <w:r>
        <w:rPr>
          <w:sz w:val="28"/>
          <w:szCs w:val="28"/>
        </w:rPr>
        <w:t>，</w:t>
      </w:r>
      <w:r>
        <w:rPr>
          <w:rFonts w:hint="eastAsia"/>
          <w:sz w:val="28"/>
          <w:szCs w:val="28"/>
          <w:lang w:eastAsia="zh-CN"/>
        </w:rPr>
        <w:t>危废无害化处置和资源综合利用</w:t>
      </w:r>
      <w:r>
        <w:rPr>
          <w:rFonts w:hint="eastAsia"/>
          <w:sz w:val="28"/>
          <w:szCs w:val="28"/>
        </w:rPr>
        <w:t>。积极配合</w:t>
      </w:r>
      <w:r>
        <w:rPr>
          <w:sz w:val="28"/>
          <w:szCs w:val="28"/>
        </w:rPr>
        <w:t>落实节能降耗</w:t>
      </w:r>
      <w:r>
        <w:rPr>
          <w:rFonts w:hint="eastAsia"/>
          <w:sz w:val="28"/>
          <w:szCs w:val="28"/>
        </w:rPr>
        <w:t>，</w:t>
      </w:r>
      <w:r>
        <w:rPr>
          <w:rFonts w:hint="eastAsia"/>
          <w:sz w:val="28"/>
          <w:szCs w:val="28"/>
          <w:lang w:eastAsia="zh-CN"/>
        </w:rPr>
        <w:t>全力推进水泥超低排放改造项目</w:t>
      </w:r>
      <w:r>
        <w:rPr>
          <w:rFonts w:hint="eastAsia"/>
          <w:sz w:val="28"/>
          <w:szCs w:val="28"/>
        </w:rPr>
        <w:t>。增加</w:t>
      </w:r>
      <w:r>
        <w:rPr>
          <w:sz w:val="28"/>
          <w:szCs w:val="28"/>
        </w:rPr>
        <w:t>资源综合利用</w:t>
      </w:r>
      <w:r>
        <w:rPr>
          <w:rFonts w:hint="eastAsia"/>
          <w:sz w:val="28"/>
          <w:szCs w:val="28"/>
        </w:rPr>
        <w:t>，</w:t>
      </w:r>
      <w:r>
        <w:rPr>
          <w:sz w:val="28"/>
          <w:szCs w:val="28"/>
        </w:rPr>
        <w:t>温室气体排放</w:t>
      </w:r>
      <w:r>
        <w:rPr>
          <w:rFonts w:hint="eastAsia"/>
          <w:sz w:val="28"/>
          <w:szCs w:val="28"/>
          <w:lang w:val="en-US" w:eastAsia="zh-CN"/>
        </w:rPr>
        <w:t>减量</w:t>
      </w:r>
      <w:r>
        <w:rPr>
          <w:rFonts w:hint="eastAsia"/>
          <w:sz w:val="28"/>
          <w:szCs w:val="28"/>
        </w:rPr>
        <w:t>、</w:t>
      </w:r>
      <w:r>
        <w:rPr>
          <w:sz w:val="28"/>
          <w:szCs w:val="28"/>
        </w:rPr>
        <w:t>产品绿色设计</w:t>
      </w:r>
      <w:r>
        <w:rPr>
          <w:rFonts w:hint="eastAsia"/>
          <w:sz w:val="28"/>
          <w:szCs w:val="28"/>
        </w:rPr>
        <w:t>等多方面发展，</w:t>
      </w:r>
      <w:r>
        <w:rPr>
          <w:rFonts w:hint="eastAsia"/>
          <w:sz w:val="28"/>
          <w:szCs w:val="28"/>
          <w:lang w:val="en-US" w:eastAsia="zh-CN"/>
        </w:rPr>
        <w:t>通过不断升级改造，为公司赢得了非常好的口碑。</w:t>
      </w:r>
    </w:p>
    <w:p w14:paraId="22CCACE0">
      <w:pPr>
        <w:ind w:firstLine="560" w:firstLineChars="200"/>
        <w:rPr>
          <w:sz w:val="28"/>
          <w:szCs w:val="32"/>
        </w:rPr>
      </w:pPr>
      <w:r>
        <w:rPr>
          <w:rFonts w:hint="eastAsia"/>
          <w:sz w:val="28"/>
          <w:szCs w:val="32"/>
          <w:lang w:val="en-US" w:eastAsia="zh-CN"/>
        </w:rPr>
        <w:t>2025</w:t>
      </w:r>
      <w:r>
        <w:rPr>
          <w:rFonts w:hint="eastAsia"/>
          <w:sz w:val="28"/>
          <w:szCs w:val="32"/>
        </w:rPr>
        <w:t>年</w:t>
      </w:r>
      <w:r>
        <w:rPr>
          <w:sz w:val="28"/>
          <w:szCs w:val="32"/>
        </w:rPr>
        <w:t>我们将立足当下，放眼未来：在新的一年里，</w:t>
      </w:r>
      <w:r>
        <w:rPr>
          <w:rFonts w:hint="eastAsia"/>
          <w:sz w:val="28"/>
          <w:szCs w:val="32"/>
          <w:lang w:val="en-US" w:eastAsia="zh-CN"/>
        </w:rPr>
        <w:t>汇丰公司</w:t>
      </w:r>
      <w:r>
        <w:rPr>
          <w:sz w:val="28"/>
          <w:szCs w:val="32"/>
        </w:rPr>
        <w:t>将坚定初心，汇聚起改革创新、</w:t>
      </w:r>
      <w:r>
        <w:rPr>
          <w:rFonts w:hint="eastAsia"/>
          <w:sz w:val="28"/>
          <w:szCs w:val="32"/>
          <w:lang w:val="en-US" w:eastAsia="zh-CN"/>
        </w:rPr>
        <w:t>共享</w:t>
      </w:r>
      <w:r>
        <w:rPr>
          <w:sz w:val="28"/>
          <w:szCs w:val="32"/>
        </w:rPr>
        <w:t>伟业的磅礴力量，解放思想、自强不息、奋勇拼搏，推动</w:t>
      </w:r>
      <w:r>
        <w:rPr>
          <w:rFonts w:hint="eastAsia"/>
          <w:sz w:val="28"/>
          <w:szCs w:val="32"/>
        </w:rPr>
        <w:t>公司</w:t>
      </w:r>
      <w:r>
        <w:rPr>
          <w:sz w:val="28"/>
          <w:szCs w:val="32"/>
        </w:rPr>
        <w:t>做强做优，不断实现高质量发展，为经济建设和社会进步事业做出新的更大贡献！</w:t>
      </w:r>
    </w:p>
    <w:p w14:paraId="18E27601">
      <w:pPr>
        <w:ind w:firstLine="560" w:firstLineChars="200"/>
        <w:rPr>
          <w:sz w:val="28"/>
          <w:szCs w:val="28"/>
        </w:rPr>
      </w:pPr>
    </w:p>
    <w:p w14:paraId="6419978D">
      <w:pPr>
        <w:pStyle w:val="12"/>
        <w:rPr>
          <w:sz w:val="28"/>
          <w:szCs w:val="28"/>
        </w:rPr>
      </w:pPr>
    </w:p>
    <w:p w14:paraId="6CC1E450"/>
    <w:p w14:paraId="1496D9E1">
      <w:pPr>
        <w:ind w:firstLine="560" w:firstLineChars="200"/>
        <w:rPr>
          <w:rFonts w:hint="default"/>
          <w:sz w:val="28"/>
          <w:szCs w:val="28"/>
          <w:lang w:val="en-US" w:eastAsia="zh-CN"/>
        </w:rPr>
      </w:pPr>
    </w:p>
    <w:p w14:paraId="2C2573D8">
      <w:pPr>
        <w:pStyle w:val="12"/>
        <w:rPr>
          <w:rFonts w:hint="default"/>
          <w:sz w:val="28"/>
          <w:szCs w:val="28"/>
          <w:lang w:val="en-US" w:eastAsia="zh-CN"/>
        </w:rPr>
      </w:pPr>
    </w:p>
    <w:p w14:paraId="42E8FD7E">
      <w:pPr>
        <w:rPr>
          <w:rFonts w:hint="default"/>
          <w:lang w:val="en-US" w:eastAsia="zh-CN"/>
        </w:rPr>
      </w:pPr>
    </w:p>
    <w:p w14:paraId="54313E5C">
      <w:pPr>
        <w:pStyle w:val="12"/>
        <w:rPr>
          <w:rFonts w:hint="default"/>
          <w:lang w:val="en-US" w:eastAsia="zh-CN"/>
        </w:rPr>
      </w:pPr>
    </w:p>
    <w:p w14:paraId="714864A0">
      <w:pPr>
        <w:pStyle w:val="2"/>
        <w:numPr>
          <w:ilvl w:val="0"/>
          <w:numId w:val="1"/>
        </w:numPr>
        <w:bidi w:val="0"/>
        <w:rPr>
          <w:rFonts w:hint="eastAsia"/>
          <w:lang w:val="en-US" w:eastAsia="zh-CN"/>
        </w:rPr>
      </w:pPr>
      <w:bookmarkStart w:id="23" w:name="_Toc30318"/>
      <w:bookmarkStart w:id="24" w:name="_Toc29298"/>
      <w:bookmarkStart w:id="25" w:name="_Toc10140"/>
      <w:r>
        <w:rPr>
          <w:rFonts w:hint="eastAsia"/>
        </w:rPr>
        <w:t>关于我们</w:t>
      </w:r>
      <w:bookmarkEnd w:id="22"/>
      <w:bookmarkEnd w:id="23"/>
      <w:bookmarkEnd w:id="24"/>
      <w:bookmarkEnd w:id="25"/>
    </w:p>
    <w:p w14:paraId="1975D6AF">
      <w:pPr>
        <w:ind w:firstLine="560" w:firstLineChars="200"/>
        <w:rPr>
          <w:rFonts w:hint="eastAsia" w:eastAsiaTheme="minorEastAsia"/>
          <w:sz w:val="28"/>
          <w:szCs w:val="32"/>
          <w:lang w:eastAsia="zh-CN"/>
        </w:rPr>
      </w:pPr>
      <w:r>
        <w:rPr>
          <w:rFonts w:hint="eastAsia"/>
          <w:sz w:val="28"/>
          <w:szCs w:val="32"/>
        </w:rPr>
        <w:t>侯马市汇丰建材有限责任公司成立于1998年10月，是一家民营企业。法人代表蒋安生，注册资金10986万元，公司位于侯马市</w:t>
      </w:r>
      <w:r>
        <w:rPr>
          <w:rFonts w:hint="eastAsia"/>
          <w:sz w:val="28"/>
          <w:szCs w:val="32"/>
          <w:lang w:val="en-US" w:eastAsia="zh-CN"/>
        </w:rPr>
        <w:t>侯</w:t>
      </w:r>
      <w:r>
        <w:rPr>
          <w:rFonts w:hint="eastAsia"/>
          <w:sz w:val="28"/>
          <w:szCs w:val="32"/>
        </w:rPr>
        <w:t>北工业园区，</w:t>
      </w:r>
      <w:r>
        <w:rPr>
          <w:rFonts w:hint="eastAsia"/>
          <w:sz w:val="28"/>
          <w:szCs w:val="32"/>
          <w:lang w:eastAsia="zh-CN"/>
        </w:rPr>
        <w:t>侯马市张村办大南庄村南</w:t>
      </w:r>
      <w:r>
        <w:rPr>
          <w:rFonts w:hint="eastAsia"/>
          <w:sz w:val="28"/>
          <w:szCs w:val="32"/>
        </w:rPr>
        <w:t>。现有一条2500t/d熟料</w:t>
      </w:r>
      <w:r>
        <w:rPr>
          <w:rFonts w:hint="eastAsia"/>
          <w:sz w:val="28"/>
          <w:szCs w:val="32"/>
          <w:lang w:eastAsia="zh-CN"/>
        </w:rPr>
        <w:t>新型干法</w:t>
      </w:r>
      <w:r>
        <w:rPr>
          <w:rFonts w:hint="eastAsia"/>
          <w:sz w:val="28"/>
          <w:szCs w:val="32"/>
        </w:rPr>
        <w:t>干法生产线，可年产熟料77.5万吨</w:t>
      </w:r>
      <w:r>
        <w:rPr>
          <w:rFonts w:hint="eastAsia"/>
          <w:sz w:val="28"/>
          <w:szCs w:val="32"/>
          <w:lang w:eastAsia="zh-CN"/>
        </w:rPr>
        <w:t>、</w:t>
      </w:r>
      <w:r>
        <w:rPr>
          <w:rFonts w:hint="eastAsia"/>
          <w:sz w:val="28"/>
          <w:szCs w:val="32"/>
        </w:rPr>
        <w:t>水泥100万吨。主导产品有</w:t>
      </w:r>
      <w:r>
        <w:rPr>
          <w:rFonts w:hint="eastAsia"/>
          <w:sz w:val="28"/>
          <w:szCs w:val="32"/>
          <w:lang w:eastAsia="zh-CN"/>
        </w:rPr>
        <w:t>硅酸盐水泥</w:t>
      </w:r>
      <w:r>
        <w:rPr>
          <w:rFonts w:hint="eastAsia"/>
          <w:sz w:val="28"/>
          <w:szCs w:val="32"/>
        </w:rPr>
        <w:t>熟料、普通硅酸盐水泥52.5、42.5、矿渣硅酸盐水泥42.5，复合硅酸盐水泥42.5，</w:t>
      </w:r>
      <w:r>
        <w:rPr>
          <w:rFonts w:hint="eastAsia"/>
          <w:sz w:val="28"/>
          <w:szCs w:val="32"/>
          <w:lang w:val="en-US" w:eastAsia="zh-CN"/>
        </w:rPr>
        <w:t>PR7.5道路硅酸盐水泥</w:t>
      </w:r>
      <w:r>
        <w:rPr>
          <w:rFonts w:hint="eastAsia"/>
          <w:sz w:val="28"/>
          <w:szCs w:val="32"/>
          <w:lang w:eastAsia="zh-CN"/>
        </w:rPr>
        <w:t>、中热硅酸盐水泥、道路用缓凝硅酸盐水泥。</w:t>
      </w:r>
    </w:p>
    <w:p w14:paraId="4E6F0196">
      <w:pPr>
        <w:ind w:firstLine="560" w:firstLineChars="200"/>
        <w:rPr>
          <w:rFonts w:hint="eastAsia"/>
          <w:sz w:val="28"/>
          <w:szCs w:val="32"/>
          <w:lang w:val="en-US" w:eastAsia="zh-CN"/>
        </w:rPr>
      </w:pPr>
      <w:r>
        <w:rPr>
          <w:rFonts w:hint="eastAsia"/>
          <w:sz w:val="28"/>
          <w:szCs w:val="32"/>
          <w:lang w:val="en-US" w:eastAsia="zh-CN"/>
        </w:rPr>
        <w:t>公司产品畅销于晋南大地，并远销到河南、河北等省份，深受广大用户和消费者好评，用于阳侯高速、阳蟒高速、山西路桥第八工程有限公司国道522线三湾到长乐段改建工程，山西省小浪底引黄工程（引水干线工程）、山西水利建设工程局第17工程处蒲县水库、吉县沿黄旅游公路、晋城太行旅游公路、永鑫铁路等十三五重点规划项目、浮临高速等山西省重点工程。产品先后被评为“消费者信得过产品”“山西省名牌产品”，公司被评为“临汾市重合同守信用单位”“山西省重合同守信用单位”“山西省质量信誉等级AA级企业”“侯马市节水型企业”等荣获称号，并通过国家质量管理体系、环境管理体系、职业健康安全管理体系和能能源管理体系认证。熟料单位产品能耗达到行业能效标杆水平。</w:t>
      </w:r>
    </w:p>
    <w:p w14:paraId="6F4A6F75">
      <w:pPr>
        <w:ind w:firstLine="560" w:firstLineChars="200"/>
        <w:rPr>
          <w:rFonts w:hint="eastAsia"/>
          <w:sz w:val="28"/>
          <w:szCs w:val="32"/>
          <w:lang w:val="en-US" w:eastAsia="zh-CN"/>
        </w:rPr>
      </w:pPr>
      <w:r>
        <w:rPr>
          <w:rFonts w:hint="eastAsia"/>
          <w:sz w:val="28"/>
          <w:szCs w:val="32"/>
          <w:lang w:val="en-US" w:eastAsia="zh-CN"/>
        </w:rPr>
        <w:t>2024年，公司工业总产值累计14983.2万元，实现营业收入22217.3万元，实现利润总额-830.8万元，熟料累计产量59.9477万吨，水泥累计产量74.7975万吨。</w:t>
      </w:r>
    </w:p>
    <w:p w14:paraId="797BC364">
      <w:pPr>
        <w:ind w:firstLine="560" w:firstLineChars="200"/>
        <w:rPr>
          <w:rFonts w:hint="eastAsia" w:ascii="宋体" w:hAnsi="宋体" w:eastAsia="宋体" w:cs="宋体"/>
          <w:sz w:val="28"/>
          <w:szCs w:val="28"/>
          <w:lang w:val="en-US" w:eastAsia="zh-CN"/>
        </w:rPr>
      </w:pPr>
      <w:r>
        <w:rPr>
          <w:rFonts w:hint="eastAsia"/>
          <w:sz w:val="28"/>
          <w:szCs w:val="32"/>
          <w:lang w:val="en-US" w:eastAsia="zh-CN"/>
        </w:rPr>
        <w:t>在国家政策方面，</w:t>
      </w:r>
      <w:r>
        <w:rPr>
          <w:rFonts w:hint="eastAsia"/>
          <w:sz w:val="28"/>
          <w:szCs w:val="32"/>
        </w:rPr>
        <w:t>公司积极响应国家</w:t>
      </w:r>
      <w:r>
        <w:rPr>
          <w:rFonts w:hint="eastAsia"/>
          <w:sz w:val="28"/>
          <w:szCs w:val="32"/>
          <w:lang w:val="en-US" w:eastAsia="zh-CN"/>
        </w:rPr>
        <w:t>、山西</w:t>
      </w:r>
      <w:r>
        <w:rPr>
          <w:rFonts w:hint="eastAsia"/>
          <w:sz w:val="28"/>
          <w:szCs w:val="32"/>
        </w:rPr>
        <w:t>省</w:t>
      </w:r>
      <w:r>
        <w:rPr>
          <w:rFonts w:hint="eastAsia"/>
          <w:sz w:val="28"/>
          <w:szCs w:val="32"/>
          <w:lang w:val="en-US" w:eastAsia="zh-CN"/>
        </w:rPr>
        <w:t>和临汾</w:t>
      </w:r>
      <w:r>
        <w:rPr>
          <w:rFonts w:hint="eastAsia"/>
          <w:sz w:val="28"/>
          <w:szCs w:val="32"/>
        </w:rPr>
        <w:t>市的号召，投入大量资金，在节能减排、环保</w:t>
      </w:r>
      <w:r>
        <w:rPr>
          <w:rFonts w:hint="eastAsia"/>
          <w:sz w:val="28"/>
          <w:szCs w:val="32"/>
          <w:lang w:eastAsia="zh-CN"/>
        </w:rPr>
        <w:t>、</w:t>
      </w:r>
      <w:r>
        <w:rPr>
          <w:rFonts w:hint="eastAsia"/>
          <w:sz w:val="28"/>
          <w:szCs w:val="32"/>
        </w:rPr>
        <w:t>安全、厂区绿化等方面积极推进“绿色工厂”建设</w:t>
      </w:r>
      <w:r>
        <w:rPr>
          <w:rFonts w:hint="eastAsia"/>
          <w:sz w:val="28"/>
          <w:szCs w:val="32"/>
          <w:lang w:eastAsia="zh-CN"/>
        </w:rPr>
        <w:t>，</w:t>
      </w:r>
      <w:r>
        <w:rPr>
          <w:rFonts w:hint="eastAsia"/>
          <w:sz w:val="28"/>
          <w:szCs w:val="32"/>
          <w:lang w:val="en-US" w:eastAsia="zh-CN"/>
        </w:rPr>
        <w:t>积极</w:t>
      </w:r>
      <w:r>
        <w:rPr>
          <w:sz w:val="28"/>
          <w:szCs w:val="32"/>
        </w:rPr>
        <w:t>承担行业、企业社会责任，引领推动错峰生产工作。</w:t>
      </w:r>
      <w:r>
        <w:rPr>
          <w:rFonts w:hint="eastAsia"/>
          <w:sz w:val="28"/>
          <w:szCs w:val="32"/>
          <w:lang w:val="en-US" w:eastAsia="zh-CN"/>
        </w:rPr>
        <w:t>当前，企业继续坚持创新驱动，推动产业升级，努力开创企业又好又快的发展新局面，为国家绿色经济发展贡献一份力量。</w:t>
      </w:r>
    </w:p>
    <w:p w14:paraId="7721BDCA">
      <w:pPr>
        <w:pStyle w:val="2"/>
        <w:numPr>
          <w:ilvl w:val="0"/>
          <w:numId w:val="1"/>
        </w:numPr>
        <w:bidi w:val="0"/>
        <w:rPr>
          <w:rFonts w:hint="eastAsia"/>
          <w:lang w:val="en-US" w:eastAsia="zh-CN"/>
        </w:rPr>
      </w:pPr>
      <w:bookmarkStart w:id="26" w:name="_Toc10653"/>
      <w:bookmarkStart w:id="27" w:name="_Toc23168"/>
      <w:bookmarkStart w:id="28" w:name="_Toc23295"/>
      <w:r>
        <w:rPr>
          <w:rFonts w:hint="eastAsia"/>
          <w:lang w:val="en-US" w:eastAsia="zh-CN"/>
        </w:rPr>
        <w:t>社会责任管理</w:t>
      </w:r>
      <w:bookmarkEnd w:id="26"/>
      <w:bookmarkEnd w:id="27"/>
      <w:bookmarkEnd w:id="28"/>
    </w:p>
    <w:p w14:paraId="172D781B">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汇丰公司</w:t>
      </w:r>
      <w:r>
        <w:rPr>
          <w:rFonts w:hint="eastAsia" w:ascii="宋体" w:hAnsi="宋体" w:eastAsia="宋体" w:cs="宋体"/>
          <w:sz w:val="28"/>
          <w:szCs w:val="28"/>
        </w:rPr>
        <w:t>积极履行社会责任，重视</w:t>
      </w:r>
      <w:r>
        <w:rPr>
          <w:rFonts w:hint="eastAsia" w:ascii="宋体" w:hAnsi="宋体" w:eastAsia="宋体" w:cs="宋体"/>
          <w:sz w:val="28"/>
          <w:szCs w:val="28"/>
          <w:lang w:val="en-US" w:eastAsia="zh-CN"/>
        </w:rPr>
        <w:t>公司内部</w:t>
      </w:r>
      <w:r>
        <w:rPr>
          <w:rFonts w:hint="eastAsia" w:ascii="宋体" w:hAnsi="宋体" w:eastAsia="宋体" w:cs="宋体"/>
          <w:sz w:val="28"/>
          <w:szCs w:val="28"/>
        </w:rPr>
        <w:t>社会责任管理体系建设，</w:t>
      </w:r>
      <w:r>
        <w:rPr>
          <w:rFonts w:hint="eastAsia" w:ascii="宋体" w:hAnsi="宋体" w:eastAsia="宋体" w:cs="宋体"/>
          <w:sz w:val="28"/>
          <w:szCs w:val="28"/>
          <w:lang w:val="en-US" w:eastAsia="zh-CN"/>
        </w:rPr>
        <w:t>积极</w:t>
      </w:r>
      <w:r>
        <w:rPr>
          <w:rFonts w:hint="eastAsia" w:ascii="宋体" w:hAnsi="宋体" w:eastAsia="宋体" w:cs="宋体"/>
          <w:sz w:val="28"/>
          <w:szCs w:val="28"/>
        </w:rPr>
        <w:t>将社会责任意识渗透到企业文化中，</w:t>
      </w:r>
      <w:r>
        <w:rPr>
          <w:rFonts w:hint="eastAsia" w:ascii="宋体" w:hAnsi="宋体" w:eastAsia="宋体" w:cs="宋体"/>
          <w:sz w:val="28"/>
          <w:szCs w:val="28"/>
          <w:lang w:val="en-US" w:eastAsia="zh-CN"/>
        </w:rPr>
        <w:t>从而不断升华企业可持续发展的理念</w:t>
      </w:r>
      <w:r>
        <w:rPr>
          <w:rFonts w:hint="eastAsia" w:ascii="宋体" w:hAnsi="宋体" w:eastAsia="宋体" w:cs="宋体"/>
          <w:sz w:val="28"/>
          <w:szCs w:val="28"/>
        </w:rPr>
        <w:t>。</w:t>
      </w:r>
      <w:r>
        <w:rPr>
          <w:rFonts w:hint="eastAsia" w:ascii="宋体" w:hAnsi="宋体" w:eastAsia="宋体" w:cs="宋体"/>
          <w:sz w:val="28"/>
          <w:szCs w:val="28"/>
          <w:lang w:val="en-US" w:eastAsia="zh-CN"/>
        </w:rPr>
        <w:t>在与利益相关方的合作过程中，</w:t>
      </w:r>
      <w:r>
        <w:rPr>
          <w:rFonts w:hint="eastAsia" w:ascii="宋体" w:hAnsi="宋体" w:eastAsia="宋体" w:cs="宋体"/>
          <w:sz w:val="28"/>
          <w:szCs w:val="28"/>
        </w:rPr>
        <w:t>我们</w:t>
      </w:r>
      <w:r>
        <w:rPr>
          <w:rFonts w:hint="eastAsia" w:ascii="宋体" w:hAnsi="宋体" w:eastAsia="宋体" w:cs="宋体"/>
          <w:sz w:val="28"/>
          <w:szCs w:val="28"/>
          <w:lang w:val="en-US" w:eastAsia="zh-CN"/>
        </w:rPr>
        <w:t>进行</w:t>
      </w:r>
      <w:r>
        <w:rPr>
          <w:rFonts w:hint="eastAsia" w:ascii="宋体" w:hAnsi="宋体" w:eastAsia="宋体" w:cs="宋体"/>
          <w:sz w:val="28"/>
          <w:szCs w:val="28"/>
        </w:rPr>
        <w:t>积极沟通，致力于实现</w:t>
      </w:r>
      <w:r>
        <w:rPr>
          <w:rFonts w:hint="eastAsia" w:ascii="宋体" w:hAnsi="宋体" w:eastAsia="宋体" w:cs="宋体"/>
          <w:sz w:val="28"/>
          <w:szCs w:val="28"/>
          <w:lang w:val="en-US" w:eastAsia="zh-CN"/>
        </w:rPr>
        <w:t>多元化</w:t>
      </w:r>
      <w:r>
        <w:rPr>
          <w:rFonts w:hint="eastAsia" w:ascii="宋体" w:hAnsi="宋体" w:eastAsia="宋体" w:cs="宋体"/>
          <w:sz w:val="28"/>
          <w:szCs w:val="28"/>
        </w:rPr>
        <w:t>共同可持续发展</w:t>
      </w:r>
      <w:r>
        <w:rPr>
          <w:rFonts w:hint="eastAsia" w:ascii="宋体" w:hAnsi="宋体" w:eastAsia="宋体" w:cs="宋体"/>
          <w:sz w:val="28"/>
          <w:szCs w:val="28"/>
          <w:lang w:val="en-US" w:eastAsia="zh-CN"/>
        </w:rPr>
        <w:t>战略</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努力实现企业发展、环境保护与社会效益三者之间的平衡。</w:t>
      </w:r>
    </w:p>
    <w:p w14:paraId="100CA36F">
      <w:pPr>
        <w:pStyle w:val="3"/>
        <w:numPr>
          <w:ilvl w:val="1"/>
          <w:numId w:val="1"/>
        </w:numPr>
        <w:bidi w:val="0"/>
        <w:rPr>
          <w:rFonts w:hint="eastAsia"/>
          <w:lang w:val="en-US" w:eastAsia="zh-CN"/>
        </w:rPr>
      </w:pPr>
      <w:bookmarkStart w:id="29" w:name="_Toc28184"/>
      <w:bookmarkStart w:id="30" w:name="_Toc18652"/>
      <w:bookmarkStart w:id="31" w:name="_Toc1666"/>
      <w:r>
        <w:rPr>
          <w:rFonts w:hint="eastAsia"/>
          <w:lang w:val="en-US" w:eastAsia="zh-CN"/>
        </w:rPr>
        <w:t>社会责任管理体系</w:t>
      </w:r>
      <w:bookmarkEnd w:id="29"/>
      <w:bookmarkEnd w:id="30"/>
      <w:bookmarkEnd w:id="31"/>
    </w:p>
    <w:p w14:paraId="359AD6FF">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b/>
          <w:lang w:val="en-US" w:eastAsia="zh-CN"/>
        </w:rPr>
      </w:pPr>
      <w:r>
        <w:rPr>
          <w:rFonts w:hint="eastAsia" w:ascii="宋体" w:hAnsi="宋体" w:eastAsia="宋体" w:cs="宋体"/>
          <w:sz w:val="28"/>
          <w:szCs w:val="28"/>
        </w:rPr>
        <w:t>公司</w:t>
      </w:r>
      <w:r>
        <w:rPr>
          <w:rFonts w:hint="eastAsia" w:ascii="宋体" w:hAnsi="宋体" w:eastAsia="宋体" w:cs="宋体"/>
          <w:sz w:val="28"/>
          <w:szCs w:val="28"/>
          <w:lang w:val="en-US" w:eastAsia="zh-CN"/>
        </w:rPr>
        <w:t>紧跟社会经济发展步伐，</w:t>
      </w:r>
      <w:r>
        <w:rPr>
          <w:rFonts w:hint="eastAsia" w:ascii="宋体" w:hAnsi="宋体" w:eastAsia="宋体" w:cs="宋体"/>
          <w:sz w:val="28"/>
          <w:szCs w:val="28"/>
        </w:rPr>
        <w:t>高度重视社会责任管理工作</w:t>
      </w:r>
      <w:r>
        <w:rPr>
          <w:rFonts w:hint="eastAsia" w:ascii="宋体" w:hAnsi="宋体" w:eastAsia="宋体" w:cs="宋体"/>
          <w:sz w:val="28"/>
          <w:szCs w:val="28"/>
          <w:lang w:eastAsia="zh-CN"/>
        </w:rPr>
        <w:t>，</w:t>
      </w:r>
      <w:r>
        <w:rPr>
          <w:rFonts w:hint="eastAsia" w:ascii="宋体" w:hAnsi="宋体" w:eastAsia="宋体" w:cs="宋体"/>
          <w:sz w:val="28"/>
          <w:szCs w:val="28"/>
          <w:shd w:val="clear" w:color="auto" w:fill="FFFFFF" w:themeFill="background1"/>
        </w:rPr>
        <w:t>将社会责任管理</w:t>
      </w:r>
      <w:r>
        <w:rPr>
          <w:rFonts w:hint="eastAsia" w:ascii="宋体" w:hAnsi="宋体" w:eastAsia="宋体" w:cs="宋体"/>
          <w:sz w:val="28"/>
          <w:szCs w:val="28"/>
          <w:shd w:val="clear" w:color="auto" w:fill="FFFFFF" w:themeFill="background1"/>
          <w:lang w:val="en-US" w:eastAsia="zh-CN"/>
        </w:rPr>
        <w:t>理念融入到</w:t>
      </w:r>
      <w:r>
        <w:rPr>
          <w:rFonts w:hint="eastAsia" w:ascii="宋体" w:hAnsi="宋体" w:eastAsia="宋体" w:cs="宋体"/>
          <w:sz w:val="28"/>
          <w:szCs w:val="28"/>
          <w:shd w:val="clear" w:color="auto" w:fill="FFFFFF" w:themeFill="background1"/>
        </w:rPr>
        <w:t>公司</w:t>
      </w:r>
      <w:r>
        <w:rPr>
          <w:rFonts w:hint="eastAsia" w:ascii="宋体" w:hAnsi="宋体" w:eastAsia="宋体" w:cs="宋体"/>
          <w:sz w:val="28"/>
          <w:szCs w:val="28"/>
          <w:shd w:val="clear" w:color="auto" w:fill="FFFFFF" w:themeFill="background1"/>
          <w:lang w:val="en-US" w:eastAsia="zh-CN"/>
        </w:rPr>
        <w:t>管理中</w:t>
      </w:r>
      <w:r>
        <w:rPr>
          <w:rFonts w:hint="eastAsia" w:ascii="宋体" w:hAnsi="宋体" w:eastAsia="宋体" w:cs="宋体"/>
          <w:sz w:val="28"/>
          <w:szCs w:val="28"/>
          <w:shd w:val="clear" w:color="auto" w:fill="FFFFFF" w:themeFill="background1"/>
        </w:rPr>
        <w:t>。</w:t>
      </w:r>
      <w:r>
        <w:rPr>
          <w:rFonts w:hint="eastAsia" w:ascii="宋体" w:hAnsi="宋体" w:eastAsia="宋体" w:cs="宋体"/>
          <w:sz w:val="28"/>
          <w:szCs w:val="28"/>
          <w:shd w:val="clear" w:color="auto" w:fill="FFFFFF" w:themeFill="background1"/>
          <w:lang w:val="en-US" w:eastAsia="zh-CN"/>
        </w:rPr>
        <w:t>2025年初公司</w:t>
      </w:r>
      <w:r>
        <w:rPr>
          <w:rFonts w:hint="eastAsia" w:ascii="宋体" w:hAnsi="宋体" w:eastAsia="宋体" w:cs="宋体"/>
          <w:sz w:val="28"/>
          <w:szCs w:val="28"/>
          <w:shd w:val="clear" w:color="auto" w:fill="FFFFFF" w:themeFill="background1"/>
        </w:rPr>
        <w:t>组织</w:t>
      </w:r>
      <w:r>
        <w:rPr>
          <w:rFonts w:hint="eastAsia" w:ascii="宋体" w:hAnsi="宋体" w:eastAsia="宋体" w:cs="宋体"/>
          <w:sz w:val="28"/>
          <w:szCs w:val="28"/>
          <w:shd w:val="clear" w:color="auto" w:fill="FFFFFF" w:themeFill="background1"/>
          <w:lang w:val="en-US" w:eastAsia="zh-CN"/>
        </w:rPr>
        <w:t>各部门负责人</w:t>
      </w:r>
      <w:r>
        <w:rPr>
          <w:rFonts w:hint="eastAsia" w:ascii="宋体" w:hAnsi="宋体" w:eastAsia="宋体" w:cs="宋体"/>
          <w:sz w:val="28"/>
          <w:szCs w:val="28"/>
          <w:shd w:val="clear" w:color="auto" w:fill="FFFFFF" w:themeFill="background1"/>
        </w:rPr>
        <w:t>召开</w:t>
      </w:r>
      <w:r>
        <w:rPr>
          <w:rFonts w:hint="eastAsia" w:ascii="宋体" w:hAnsi="宋体" w:eastAsia="宋体" w:cs="宋体"/>
          <w:sz w:val="28"/>
          <w:szCs w:val="28"/>
          <w:shd w:val="clear" w:color="auto" w:fill="FFFFFF" w:themeFill="background1"/>
          <w:lang w:eastAsia="zh-CN"/>
        </w:rPr>
        <w:t>“</w:t>
      </w:r>
      <w:r>
        <w:rPr>
          <w:rFonts w:hint="eastAsia" w:ascii="宋体" w:hAnsi="宋体" w:eastAsia="宋体" w:cs="宋体"/>
          <w:sz w:val="28"/>
          <w:szCs w:val="28"/>
          <w:highlight w:val="none"/>
          <w:shd w:val="clear" w:color="auto" w:fill="FFFFFF" w:themeFill="background1"/>
        </w:rPr>
        <w:t>2</w:t>
      </w:r>
      <w:r>
        <w:rPr>
          <w:rFonts w:hint="eastAsia" w:ascii="宋体" w:hAnsi="宋体" w:eastAsia="宋体" w:cs="宋体"/>
          <w:sz w:val="28"/>
          <w:szCs w:val="28"/>
          <w:highlight w:val="none"/>
          <w:shd w:val="clear" w:color="auto" w:fill="FFFFFF" w:themeFill="background1"/>
          <w:lang w:val="en-US" w:eastAsia="zh-CN"/>
        </w:rPr>
        <w:t>024</w:t>
      </w:r>
      <w:r>
        <w:rPr>
          <w:rFonts w:hint="eastAsia" w:ascii="宋体" w:hAnsi="宋体" w:eastAsia="宋体" w:cs="宋体"/>
          <w:sz w:val="28"/>
          <w:szCs w:val="28"/>
          <w:highlight w:val="none"/>
          <w:shd w:val="clear" w:color="auto" w:fill="FFFFFF" w:themeFill="background1"/>
        </w:rPr>
        <w:t>年度</w:t>
      </w:r>
      <w:r>
        <w:rPr>
          <w:rFonts w:hint="eastAsia" w:ascii="宋体" w:hAnsi="宋体" w:eastAsia="宋体" w:cs="宋体"/>
          <w:sz w:val="28"/>
          <w:szCs w:val="28"/>
          <w:shd w:val="clear" w:color="auto" w:fill="FFFFFF" w:themeFill="background1"/>
          <w:lang w:eastAsia="zh-CN"/>
        </w:rPr>
        <w:t>”</w:t>
      </w:r>
      <w:r>
        <w:rPr>
          <w:rFonts w:hint="eastAsia" w:ascii="宋体" w:hAnsi="宋体" w:eastAsia="宋体" w:cs="宋体"/>
          <w:sz w:val="28"/>
          <w:szCs w:val="28"/>
          <w:shd w:val="clear" w:color="auto" w:fill="FFFFFF" w:themeFill="background1"/>
        </w:rPr>
        <w:t>社会责任报告启动会，</w:t>
      </w:r>
      <w:r>
        <w:rPr>
          <w:rFonts w:hint="eastAsia" w:ascii="宋体" w:hAnsi="宋体" w:eastAsia="宋体" w:cs="宋体"/>
          <w:sz w:val="28"/>
          <w:szCs w:val="28"/>
          <w:shd w:val="clear" w:color="auto" w:fill="FFFFFF" w:themeFill="background1"/>
          <w:lang w:val="en-US" w:eastAsia="zh-CN"/>
        </w:rPr>
        <w:t>各部门负责人</w:t>
      </w:r>
      <w:r>
        <w:rPr>
          <w:rFonts w:hint="eastAsia" w:ascii="宋体" w:hAnsi="宋体" w:eastAsia="宋体" w:cs="宋体"/>
          <w:sz w:val="28"/>
          <w:szCs w:val="28"/>
          <w:shd w:val="clear" w:color="auto" w:fill="FFFFFF" w:themeFill="background1"/>
        </w:rPr>
        <w:t>听取工作安排，</w:t>
      </w:r>
      <w:r>
        <w:rPr>
          <w:rFonts w:hint="eastAsia" w:ascii="宋体" w:hAnsi="宋体" w:eastAsia="宋体" w:cs="宋体"/>
          <w:sz w:val="28"/>
          <w:szCs w:val="28"/>
          <w:shd w:val="clear" w:color="auto" w:fill="FFFFFF" w:themeFill="background1"/>
          <w:lang w:val="en-US" w:eastAsia="zh-CN"/>
        </w:rPr>
        <w:t>并</w:t>
      </w:r>
      <w:r>
        <w:rPr>
          <w:rFonts w:hint="eastAsia" w:ascii="宋体" w:hAnsi="宋体" w:eastAsia="宋体" w:cs="宋体"/>
          <w:sz w:val="28"/>
          <w:szCs w:val="28"/>
          <w:shd w:val="clear" w:color="auto" w:fill="FFFFFF" w:themeFill="background1"/>
        </w:rPr>
        <w:t>组织开展人员访谈、调查问卷、现场调研、数据整理、资料收集等各项工作。202</w:t>
      </w:r>
      <w:r>
        <w:rPr>
          <w:rFonts w:hint="eastAsia" w:ascii="宋体" w:hAnsi="宋体" w:eastAsia="宋体" w:cs="宋体"/>
          <w:sz w:val="28"/>
          <w:szCs w:val="28"/>
          <w:shd w:val="clear" w:color="auto" w:fill="FFFFFF" w:themeFill="background1"/>
          <w:lang w:val="en-US" w:eastAsia="zh-CN"/>
        </w:rPr>
        <w:t>5</w:t>
      </w:r>
      <w:r>
        <w:rPr>
          <w:rFonts w:hint="eastAsia" w:ascii="宋体" w:hAnsi="宋体" w:eastAsia="宋体" w:cs="宋体"/>
          <w:sz w:val="28"/>
          <w:szCs w:val="28"/>
          <w:shd w:val="clear" w:color="auto" w:fill="FFFFFF" w:themeFill="background1"/>
        </w:rPr>
        <w:t>年</w:t>
      </w:r>
      <w:r>
        <w:rPr>
          <w:rFonts w:hint="eastAsia" w:ascii="宋体" w:hAnsi="宋体" w:eastAsia="宋体" w:cs="宋体"/>
          <w:sz w:val="28"/>
          <w:szCs w:val="28"/>
          <w:shd w:val="clear" w:color="auto" w:fill="FFFFFF" w:themeFill="background1"/>
          <w:lang w:val="en-US" w:eastAsia="zh-CN"/>
        </w:rPr>
        <w:t>3</w:t>
      </w:r>
      <w:r>
        <w:rPr>
          <w:rFonts w:hint="eastAsia" w:ascii="宋体" w:hAnsi="宋体" w:eastAsia="宋体" w:cs="宋体"/>
          <w:sz w:val="28"/>
          <w:szCs w:val="28"/>
          <w:shd w:val="clear" w:color="auto" w:fill="FFFFFF" w:themeFill="background1"/>
        </w:rPr>
        <w:t>月份编制公司社会责任报告，各部</w:t>
      </w:r>
      <w:r>
        <w:rPr>
          <w:rFonts w:hint="eastAsia" w:ascii="宋体" w:hAnsi="宋体" w:eastAsia="宋体" w:cs="宋体"/>
          <w:sz w:val="28"/>
          <w:szCs w:val="28"/>
          <w:shd w:val="clear" w:color="auto" w:fill="FFFFFF" w:themeFill="background1"/>
          <w:lang w:val="en-US" w:eastAsia="zh-CN"/>
        </w:rPr>
        <w:t>门</w:t>
      </w:r>
      <w:r>
        <w:rPr>
          <w:rFonts w:hint="eastAsia" w:ascii="宋体" w:hAnsi="宋体" w:eastAsia="宋体" w:cs="宋体"/>
          <w:sz w:val="28"/>
          <w:szCs w:val="28"/>
          <w:shd w:val="clear" w:color="auto" w:fill="FFFFFF" w:themeFill="background1"/>
        </w:rPr>
        <w:t>认真审阅报告并提出了修改意见和建议。</w:t>
      </w:r>
    </w:p>
    <w:p w14:paraId="46238EFC">
      <w:pPr>
        <w:pStyle w:val="3"/>
        <w:bidi w:val="0"/>
        <w:ind w:firstLine="321" w:firstLineChars="100"/>
        <w:rPr>
          <w:rFonts w:hint="eastAsia"/>
          <w:lang w:val="en-US" w:eastAsia="zh-CN"/>
        </w:rPr>
      </w:pPr>
      <w:bookmarkStart w:id="32" w:name="_Toc30230"/>
      <w:bookmarkStart w:id="33" w:name="_Toc20517"/>
      <w:bookmarkStart w:id="34" w:name="_Toc15953"/>
      <w:r>
        <w:rPr>
          <w:rFonts w:hint="eastAsia"/>
          <w:lang w:val="en-US" w:eastAsia="zh-CN"/>
        </w:rPr>
        <w:t>2.2 社会责任履责概述</w:t>
      </w:r>
      <w:bookmarkEnd w:id="32"/>
      <w:bookmarkEnd w:id="33"/>
      <w:bookmarkEnd w:id="34"/>
    </w:p>
    <w:p w14:paraId="5BAF7619">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shd w:val="clear" w:color="auto" w:fill="FFFFFF" w:themeFill="background1"/>
          <w:lang w:val="en-US" w:eastAsia="zh-CN"/>
        </w:rPr>
      </w:pPr>
      <w:r>
        <w:rPr>
          <w:rFonts w:hint="eastAsia" w:ascii="宋体" w:hAnsi="宋体" w:eastAsia="宋体" w:cs="宋体"/>
          <w:sz w:val="28"/>
          <w:szCs w:val="28"/>
          <w:shd w:val="clear" w:color="auto" w:fill="FFFFFF" w:themeFill="background1"/>
          <w:lang w:val="en-US" w:eastAsia="zh-CN"/>
        </w:rPr>
        <w:t>公司历来非常重视生态环境污染防治问题，自建厂以来不断通过清洁生产、开源节流和污染防治技术改造等措施，为山西绿水蓝天工程做出了应有的贡献。</w:t>
      </w:r>
    </w:p>
    <w:p w14:paraId="758F2388">
      <w:pPr>
        <w:pStyle w:val="12"/>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宋体" w:hAnsi="宋体" w:eastAsia="宋体" w:cs="宋体"/>
          <w:b w:val="0"/>
          <w:bCs w:val="0"/>
          <w:kern w:val="2"/>
          <w:sz w:val="28"/>
          <w:szCs w:val="28"/>
          <w:shd w:val="clear" w:color="auto" w:fill="FFFFFF" w:themeFill="background1"/>
          <w:lang w:val="en-US" w:eastAsia="zh-CN" w:bidi="ar-SA"/>
        </w:rPr>
      </w:pPr>
      <w:r>
        <w:rPr>
          <w:rFonts w:hint="eastAsia" w:ascii="宋体" w:hAnsi="宋体" w:eastAsia="宋体" w:cs="宋体"/>
          <w:sz w:val="28"/>
          <w:szCs w:val="28"/>
          <w:lang w:val="en-US" w:eastAsia="zh-CN"/>
        </w:rPr>
        <w:t xml:space="preserve">    </w:t>
      </w:r>
      <w:r>
        <w:rPr>
          <w:rFonts w:hint="eastAsia" w:ascii="宋体" w:hAnsi="宋体" w:eastAsia="宋体" w:cs="宋体"/>
          <w:b w:val="0"/>
          <w:bCs w:val="0"/>
          <w:kern w:val="2"/>
          <w:sz w:val="28"/>
          <w:szCs w:val="28"/>
          <w:shd w:val="clear" w:color="auto" w:fill="FFFFFF" w:themeFill="background1"/>
          <w:lang w:val="en-US" w:eastAsia="zh-CN" w:bidi="ar-SA"/>
        </w:rPr>
        <w:t>公司通过多种形式与利益相关方加强互动，了解利益相关方对可持续发展的关注程度、期望与诉求。我们通过公司管理层建议、同业之间对标研究、市场调研、多媒体信息分析等方式，识别并筛选出与汇丰公司相关的议题并召开内部会议，了解利益相关方关注程度，进而判定出最终的重大性议题。</w:t>
      </w:r>
    </w:p>
    <w:tbl>
      <w:tblPr>
        <w:tblStyle w:val="14"/>
        <w:tblpPr w:leftFromText="180" w:rightFromText="180" w:vertAnchor="text" w:horzAnchor="page" w:tblpX="1740" w:tblpY="178"/>
        <w:tblOverlap w:val="never"/>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3628"/>
        <w:gridCol w:w="2939"/>
      </w:tblGrid>
      <w:tr w14:paraId="29EFD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800" w:type="dxa"/>
            <w:gridSpan w:val="3"/>
            <w:shd w:val="clear" w:color="auto" w:fill="DEEAF6" w:themeFill="accent1" w:themeFillTint="33"/>
            <w:vAlign w:val="center"/>
          </w:tcPr>
          <w:p w14:paraId="61E362EF">
            <w:pPr>
              <w:jc w:val="center"/>
              <w:rPr>
                <w:sz w:val="24"/>
                <w:szCs w:val="28"/>
              </w:rPr>
            </w:pPr>
            <w:r>
              <w:rPr>
                <w:rFonts w:hint="eastAsia"/>
                <w:sz w:val="24"/>
                <w:szCs w:val="28"/>
              </w:rPr>
              <w:t>利益相关方列表和沟通方式</w:t>
            </w:r>
          </w:p>
        </w:tc>
      </w:tr>
      <w:tr w14:paraId="25A27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233" w:type="dxa"/>
            <w:shd w:val="clear" w:color="auto" w:fill="DEEAF6" w:themeFill="accent1" w:themeFillTint="33"/>
            <w:vAlign w:val="center"/>
          </w:tcPr>
          <w:p w14:paraId="0FE17F63">
            <w:pPr>
              <w:jc w:val="center"/>
              <w:rPr>
                <w:sz w:val="24"/>
                <w:szCs w:val="28"/>
              </w:rPr>
            </w:pPr>
            <w:r>
              <w:rPr>
                <w:rFonts w:hint="eastAsia"/>
                <w:sz w:val="24"/>
                <w:szCs w:val="28"/>
              </w:rPr>
              <w:t>相关方</w:t>
            </w:r>
            <w:r>
              <w:rPr>
                <w:sz w:val="24"/>
                <w:szCs w:val="28"/>
              </w:rPr>
              <w:t xml:space="preserve"> </w:t>
            </w:r>
          </w:p>
        </w:tc>
        <w:tc>
          <w:tcPr>
            <w:tcW w:w="3628" w:type="dxa"/>
            <w:shd w:val="clear" w:color="auto" w:fill="DEEAF6" w:themeFill="accent1" w:themeFillTint="33"/>
            <w:vAlign w:val="center"/>
          </w:tcPr>
          <w:p w14:paraId="7E64BFE5">
            <w:pPr>
              <w:jc w:val="center"/>
              <w:rPr>
                <w:sz w:val="24"/>
                <w:szCs w:val="28"/>
              </w:rPr>
            </w:pPr>
            <w:r>
              <w:rPr>
                <w:rFonts w:hint="eastAsia"/>
                <w:sz w:val="24"/>
                <w:szCs w:val="28"/>
              </w:rPr>
              <w:t>需求与期待</w:t>
            </w:r>
          </w:p>
        </w:tc>
        <w:tc>
          <w:tcPr>
            <w:tcW w:w="2939" w:type="dxa"/>
            <w:shd w:val="clear" w:color="auto" w:fill="DEEAF6" w:themeFill="accent1" w:themeFillTint="33"/>
            <w:vAlign w:val="center"/>
          </w:tcPr>
          <w:p w14:paraId="78CABF51">
            <w:pPr>
              <w:jc w:val="center"/>
              <w:rPr>
                <w:sz w:val="24"/>
                <w:szCs w:val="28"/>
              </w:rPr>
            </w:pPr>
            <w:r>
              <w:rPr>
                <w:rFonts w:hint="eastAsia"/>
                <w:sz w:val="24"/>
                <w:szCs w:val="28"/>
              </w:rPr>
              <w:t>沟通渠道</w:t>
            </w:r>
          </w:p>
        </w:tc>
      </w:tr>
      <w:tr w14:paraId="2A1F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233" w:type="dxa"/>
            <w:shd w:val="clear" w:color="auto" w:fill="FFFFFF" w:themeFill="background1"/>
            <w:vAlign w:val="center"/>
          </w:tcPr>
          <w:p w14:paraId="212876A1">
            <w:pPr>
              <w:jc w:val="center"/>
              <w:rPr>
                <w:sz w:val="24"/>
                <w:szCs w:val="28"/>
              </w:rPr>
            </w:pPr>
            <w:r>
              <w:rPr>
                <w:rFonts w:hint="eastAsia"/>
                <w:sz w:val="24"/>
                <w:szCs w:val="28"/>
              </w:rPr>
              <w:t>政府和监管机构</w:t>
            </w:r>
          </w:p>
        </w:tc>
        <w:tc>
          <w:tcPr>
            <w:tcW w:w="3628" w:type="dxa"/>
            <w:shd w:val="clear" w:color="auto" w:fill="FFFFFF" w:themeFill="background1"/>
            <w:vAlign w:val="center"/>
          </w:tcPr>
          <w:p w14:paraId="473B2180">
            <w:pPr>
              <w:ind w:firstLine="480" w:firstLineChars="200"/>
              <w:rPr>
                <w:sz w:val="24"/>
                <w:szCs w:val="28"/>
              </w:rPr>
            </w:pPr>
            <w:r>
              <w:rPr>
                <w:rFonts w:hint="eastAsia"/>
                <w:sz w:val="24"/>
                <w:szCs w:val="28"/>
              </w:rPr>
              <w:t>合规运营</w:t>
            </w:r>
          </w:p>
          <w:p w14:paraId="20DB28D1">
            <w:pPr>
              <w:ind w:firstLine="480" w:firstLineChars="200"/>
              <w:rPr>
                <w:sz w:val="24"/>
                <w:szCs w:val="28"/>
              </w:rPr>
            </w:pPr>
            <w:r>
              <w:rPr>
                <w:sz w:val="24"/>
                <w:szCs w:val="28"/>
              </w:rPr>
              <w:t>促进就业</w:t>
            </w:r>
          </w:p>
          <w:p w14:paraId="51F54F55">
            <w:pPr>
              <w:ind w:firstLine="480" w:firstLineChars="200"/>
              <w:rPr>
                <w:sz w:val="24"/>
                <w:szCs w:val="28"/>
              </w:rPr>
            </w:pPr>
            <w:r>
              <w:rPr>
                <w:sz w:val="24"/>
                <w:szCs w:val="28"/>
              </w:rPr>
              <w:t>风险管控</w:t>
            </w:r>
          </w:p>
          <w:p w14:paraId="7784A4EC">
            <w:pPr>
              <w:ind w:firstLine="480" w:firstLineChars="200"/>
              <w:rPr>
                <w:sz w:val="24"/>
                <w:szCs w:val="28"/>
              </w:rPr>
            </w:pPr>
            <w:r>
              <w:rPr>
                <w:sz w:val="24"/>
                <w:szCs w:val="28"/>
              </w:rPr>
              <w:t>回应国家战略</w:t>
            </w:r>
          </w:p>
          <w:p w14:paraId="5F07F10B">
            <w:pPr>
              <w:ind w:firstLine="480" w:firstLineChars="200"/>
              <w:rPr>
                <w:sz w:val="24"/>
                <w:szCs w:val="28"/>
              </w:rPr>
            </w:pPr>
            <w:r>
              <w:rPr>
                <w:sz w:val="24"/>
                <w:szCs w:val="28"/>
              </w:rPr>
              <w:t>安全生产</w:t>
            </w:r>
          </w:p>
          <w:p w14:paraId="267FEDDA">
            <w:pPr>
              <w:ind w:firstLine="480" w:firstLineChars="200"/>
              <w:rPr>
                <w:sz w:val="24"/>
                <w:szCs w:val="28"/>
              </w:rPr>
            </w:pPr>
            <w:r>
              <w:rPr>
                <w:sz w:val="24"/>
                <w:szCs w:val="28"/>
              </w:rPr>
              <w:t>科技创新</w:t>
            </w:r>
          </w:p>
          <w:p w14:paraId="627AEC4C">
            <w:pPr>
              <w:ind w:firstLine="480" w:firstLineChars="200"/>
              <w:rPr>
                <w:sz w:val="24"/>
                <w:szCs w:val="28"/>
              </w:rPr>
            </w:pPr>
            <w:r>
              <w:rPr>
                <w:sz w:val="24"/>
                <w:szCs w:val="28"/>
              </w:rPr>
              <w:t>节能减排</w:t>
            </w:r>
          </w:p>
        </w:tc>
        <w:tc>
          <w:tcPr>
            <w:tcW w:w="2939" w:type="dxa"/>
            <w:shd w:val="clear" w:color="auto" w:fill="FFFFFF" w:themeFill="background1"/>
            <w:vAlign w:val="center"/>
          </w:tcPr>
          <w:p w14:paraId="600E3490">
            <w:pPr>
              <w:ind w:firstLine="480" w:firstLineChars="200"/>
              <w:rPr>
                <w:sz w:val="24"/>
                <w:szCs w:val="28"/>
              </w:rPr>
            </w:pPr>
            <w:r>
              <w:rPr>
                <w:rFonts w:hint="eastAsia"/>
                <w:sz w:val="24"/>
                <w:szCs w:val="28"/>
              </w:rPr>
              <w:t>信息披露</w:t>
            </w:r>
          </w:p>
          <w:p w14:paraId="5E896988">
            <w:pPr>
              <w:ind w:firstLine="480" w:firstLineChars="200"/>
              <w:rPr>
                <w:sz w:val="24"/>
                <w:szCs w:val="28"/>
              </w:rPr>
            </w:pPr>
            <w:r>
              <w:rPr>
                <w:rFonts w:hint="eastAsia"/>
                <w:sz w:val="24"/>
                <w:szCs w:val="28"/>
              </w:rPr>
              <w:t>日常沟通汇报</w:t>
            </w:r>
          </w:p>
          <w:p w14:paraId="79CF01AC">
            <w:pPr>
              <w:ind w:firstLine="480" w:firstLineChars="200"/>
              <w:rPr>
                <w:sz w:val="24"/>
                <w:szCs w:val="28"/>
              </w:rPr>
            </w:pPr>
            <w:r>
              <w:rPr>
                <w:sz w:val="24"/>
                <w:szCs w:val="28"/>
              </w:rPr>
              <w:t>现场考察</w:t>
            </w:r>
          </w:p>
          <w:p w14:paraId="0D460903">
            <w:pPr>
              <w:ind w:firstLine="480" w:firstLineChars="200"/>
              <w:rPr>
                <w:sz w:val="24"/>
                <w:szCs w:val="28"/>
              </w:rPr>
            </w:pPr>
            <w:r>
              <w:rPr>
                <w:sz w:val="24"/>
                <w:szCs w:val="28"/>
              </w:rPr>
              <w:t>监督检验</w:t>
            </w:r>
          </w:p>
          <w:p w14:paraId="714C09D0">
            <w:pPr>
              <w:ind w:firstLine="480" w:firstLineChars="200"/>
              <w:rPr>
                <w:sz w:val="24"/>
                <w:szCs w:val="28"/>
              </w:rPr>
            </w:pPr>
            <w:r>
              <w:rPr>
                <w:sz w:val="24"/>
                <w:szCs w:val="28"/>
              </w:rPr>
              <w:t>来访接待</w:t>
            </w:r>
          </w:p>
        </w:tc>
      </w:tr>
      <w:tr w14:paraId="7A46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2233" w:type="dxa"/>
            <w:shd w:val="clear" w:color="auto" w:fill="FFFFFF" w:themeFill="background1"/>
            <w:vAlign w:val="center"/>
          </w:tcPr>
          <w:p w14:paraId="11627A34">
            <w:pPr>
              <w:jc w:val="center"/>
              <w:rPr>
                <w:sz w:val="24"/>
                <w:szCs w:val="28"/>
              </w:rPr>
            </w:pPr>
            <w:r>
              <w:rPr>
                <w:rFonts w:hint="eastAsia"/>
                <w:sz w:val="24"/>
                <w:szCs w:val="28"/>
              </w:rPr>
              <w:t>客户</w:t>
            </w:r>
          </w:p>
        </w:tc>
        <w:tc>
          <w:tcPr>
            <w:tcW w:w="3628" w:type="dxa"/>
            <w:shd w:val="clear" w:color="auto" w:fill="FFFFFF" w:themeFill="background1"/>
            <w:vAlign w:val="center"/>
          </w:tcPr>
          <w:p w14:paraId="319FE66C">
            <w:pPr>
              <w:ind w:firstLine="480" w:firstLineChars="200"/>
              <w:rPr>
                <w:sz w:val="24"/>
                <w:szCs w:val="28"/>
              </w:rPr>
            </w:pPr>
            <w:r>
              <w:rPr>
                <w:rFonts w:hint="eastAsia"/>
                <w:sz w:val="24"/>
                <w:szCs w:val="28"/>
              </w:rPr>
              <w:t>提升产品与服务品质</w:t>
            </w:r>
            <w:r>
              <w:rPr>
                <w:sz w:val="24"/>
                <w:szCs w:val="28"/>
              </w:rPr>
              <w:t xml:space="preserve"> </w:t>
            </w:r>
          </w:p>
          <w:p w14:paraId="58B25349">
            <w:pPr>
              <w:ind w:firstLine="480" w:firstLineChars="200"/>
              <w:rPr>
                <w:sz w:val="24"/>
                <w:szCs w:val="28"/>
              </w:rPr>
            </w:pPr>
            <w:r>
              <w:rPr>
                <w:sz w:val="24"/>
                <w:szCs w:val="28"/>
              </w:rPr>
              <w:t xml:space="preserve">信息披露 </w:t>
            </w:r>
          </w:p>
          <w:p w14:paraId="6ED1F2A4">
            <w:pPr>
              <w:ind w:firstLine="480" w:firstLineChars="200"/>
              <w:rPr>
                <w:sz w:val="24"/>
                <w:szCs w:val="28"/>
              </w:rPr>
            </w:pPr>
            <w:r>
              <w:rPr>
                <w:sz w:val="24"/>
                <w:szCs w:val="28"/>
              </w:rPr>
              <w:t>高质量售后服务</w:t>
            </w:r>
          </w:p>
        </w:tc>
        <w:tc>
          <w:tcPr>
            <w:tcW w:w="2939" w:type="dxa"/>
            <w:shd w:val="clear" w:color="auto" w:fill="FFFFFF" w:themeFill="background1"/>
            <w:vAlign w:val="center"/>
          </w:tcPr>
          <w:p w14:paraId="49CF906F">
            <w:pPr>
              <w:ind w:firstLine="480" w:firstLineChars="200"/>
              <w:rPr>
                <w:sz w:val="24"/>
                <w:szCs w:val="28"/>
              </w:rPr>
            </w:pPr>
            <w:r>
              <w:rPr>
                <w:rFonts w:hint="eastAsia"/>
                <w:sz w:val="24"/>
                <w:szCs w:val="28"/>
              </w:rPr>
              <w:t>客户满意度调查</w:t>
            </w:r>
            <w:r>
              <w:rPr>
                <w:sz w:val="24"/>
                <w:szCs w:val="28"/>
              </w:rPr>
              <w:t xml:space="preserve"> </w:t>
            </w:r>
          </w:p>
          <w:p w14:paraId="5366BCB6">
            <w:pPr>
              <w:ind w:firstLine="480" w:firstLineChars="200"/>
              <w:rPr>
                <w:sz w:val="24"/>
                <w:szCs w:val="28"/>
              </w:rPr>
            </w:pPr>
            <w:r>
              <w:rPr>
                <w:sz w:val="24"/>
                <w:szCs w:val="28"/>
              </w:rPr>
              <w:t xml:space="preserve">拜访沟通 </w:t>
            </w:r>
          </w:p>
          <w:p w14:paraId="06F7B17A">
            <w:pPr>
              <w:ind w:firstLine="480" w:firstLineChars="200"/>
              <w:rPr>
                <w:sz w:val="24"/>
                <w:szCs w:val="28"/>
              </w:rPr>
            </w:pPr>
            <w:r>
              <w:rPr>
                <w:sz w:val="24"/>
                <w:szCs w:val="28"/>
              </w:rPr>
              <w:t>客户活动</w:t>
            </w:r>
          </w:p>
        </w:tc>
      </w:tr>
      <w:tr w14:paraId="772D4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2233" w:type="dxa"/>
            <w:shd w:val="clear" w:color="auto" w:fill="FFFFFF" w:themeFill="background1"/>
            <w:vAlign w:val="center"/>
          </w:tcPr>
          <w:p w14:paraId="54F4D5F9">
            <w:pPr>
              <w:jc w:val="center"/>
              <w:rPr>
                <w:sz w:val="24"/>
                <w:szCs w:val="28"/>
              </w:rPr>
            </w:pPr>
            <w:r>
              <w:rPr>
                <w:rFonts w:hint="eastAsia"/>
                <w:sz w:val="24"/>
                <w:szCs w:val="28"/>
              </w:rPr>
              <w:t>员工</w:t>
            </w:r>
          </w:p>
        </w:tc>
        <w:tc>
          <w:tcPr>
            <w:tcW w:w="3628" w:type="dxa"/>
            <w:shd w:val="clear" w:color="auto" w:fill="FFFFFF" w:themeFill="background1"/>
            <w:vAlign w:val="center"/>
          </w:tcPr>
          <w:p w14:paraId="36611777">
            <w:pPr>
              <w:ind w:firstLine="480" w:firstLineChars="200"/>
              <w:jc w:val="left"/>
              <w:rPr>
                <w:sz w:val="24"/>
                <w:szCs w:val="28"/>
              </w:rPr>
            </w:pPr>
            <w:r>
              <w:rPr>
                <w:rFonts w:hint="eastAsia"/>
                <w:sz w:val="24"/>
                <w:szCs w:val="28"/>
              </w:rPr>
              <w:t>员工权益保障</w:t>
            </w:r>
            <w:r>
              <w:rPr>
                <w:sz w:val="24"/>
                <w:szCs w:val="28"/>
              </w:rPr>
              <w:t xml:space="preserve"> </w:t>
            </w:r>
          </w:p>
          <w:p w14:paraId="7E00DB71">
            <w:pPr>
              <w:ind w:firstLine="480" w:firstLineChars="200"/>
              <w:jc w:val="left"/>
              <w:rPr>
                <w:sz w:val="24"/>
                <w:szCs w:val="28"/>
              </w:rPr>
            </w:pPr>
            <w:r>
              <w:rPr>
                <w:sz w:val="24"/>
                <w:szCs w:val="28"/>
              </w:rPr>
              <w:t xml:space="preserve">职业健康与安全 </w:t>
            </w:r>
          </w:p>
          <w:p w14:paraId="07605B7D">
            <w:pPr>
              <w:ind w:firstLine="480" w:firstLineChars="200"/>
              <w:jc w:val="left"/>
              <w:rPr>
                <w:sz w:val="24"/>
                <w:szCs w:val="28"/>
              </w:rPr>
            </w:pPr>
            <w:r>
              <w:rPr>
                <w:sz w:val="24"/>
                <w:szCs w:val="28"/>
              </w:rPr>
              <w:t xml:space="preserve">职业培训 </w:t>
            </w:r>
          </w:p>
          <w:p w14:paraId="48F8343A">
            <w:pPr>
              <w:ind w:firstLine="480" w:firstLineChars="200"/>
              <w:jc w:val="left"/>
              <w:rPr>
                <w:sz w:val="24"/>
                <w:szCs w:val="28"/>
              </w:rPr>
            </w:pPr>
            <w:r>
              <w:rPr>
                <w:sz w:val="24"/>
                <w:szCs w:val="28"/>
              </w:rPr>
              <w:t xml:space="preserve">个人发展 </w:t>
            </w:r>
          </w:p>
          <w:p w14:paraId="281D27AD">
            <w:pPr>
              <w:ind w:firstLine="480" w:firstLineChars="200"/>
              <w:jc w:val="left"/>
              <w:rPr>
                <w:sz w:val="24"/>
                <w:szCs w:val="28"/>
              </w:rPr>
            </w:pPr>
            <w:r>
              <w:rPr>
                <w:sz w:val="24"/>
                <w:szCs w:val="28"/>
              </w:rPr>
              <w:t>员工关爱</w:t>
            </w:r>
          </w:p>
        </w:tc>
        <w:tc>
          <w:tcPr>
            <w:tcW w:w="2939" w:type="dxa"/>
            <w:shd w:val="clear" w:color="auto" w:fill="FFFFFF" w:themeFill="background1"/>
            <w:vAlign w:val="center"/>
          </w:tcPr>
          <w:p w14:paraId="65D79D93">
            <w:pPr>
              <w:ind w:firstLine="480" w:firstLineChars="200"/>
              <w:jc w:val="left"/>
              <w:rPr>
                <w:sz w:val="24"/>
                <w:szCs w:val="28"/>
              </w:rPr>
            </w:pPr>
            <w:r>
              <w:rPr>
                <w:rFonts w:hint="eastAsia"/>
                <w:sz w:val="24"/>
                <w:szCs w:val="28"/>
              </w:rPr>
              <w:t>意见征询</w:t>
            </w:r>
            <w:r>
              <w:rPr>
                <w:sz w:val="24"/>
                <w:szCs w:val="28"/>
              </w:rPr>
              <w:t xml:space="preserve"> </w:t>
            </w:r>
          </w:p>
          <w:p w14:paraId="10908CCA">
            <w:pPr>
              <w:ind w:firstLine="480" w:firstLineChars="200"/>
              <w:jc w:val="left"/>
              <w:rPr>
                <w:sz w:val="24"/>
                <w:szCs w:val="28"/>
              </w:rPr>
            </w:pPr>
            <w:r>
              <w:rPr>
                <w:sz w:val="24"/>
                <w:szCs w:val="28"/>
              </w:rPr>
              <w:t xml:space="preserve">职业发展沟通机制 </w:t>
            </w:r>
          </w:p>
          <w:p w14:paraId="05485D75">
            <w:pPr>
              <w:ind w:firstLine="480" w:firstLineChars="200"/>
              <w:jc w:val="left"/>
              <w:rPr>
                <w:sz w:val="24"/>
                <w:szCs w:val="28"/>
              </w:rPr>
            </w:pPr>
            <w:r>
              <w:rPr>
                <w:sz w:val="24"/>
                <w:szCs w:val="28"/>
              </w:rPr>
              <w:t>日常沟通及交流</w:t>
            </w:r>
          </w:p>
        </w:tc>
      </w:tr>
      <w:tr w14:paraId="602DB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2233" w:type="dxa"/>
            <w:shd w:val="clear" w:color="auto" w:fill="FFFFFF" w:themeFill="background1"/>
            <w:vAlign w:val="center"/>
          </w:tcPr>
          <w:p w14:paraId="0DDE43D2">
            <w:pPr>
              <w:jc w:val="center"/>
              <w:rPr>
                <w:sz w:val="24"/>
                <w:szCs w:val="28"/>
              </w:rPr>
            </w:pPr>
            <w:r>
              <w:rPr>
                <w:rFonts w:hint="eastAsia"/>
                <w:sz w:val="24"/>
                <w:szCs w:val="28"/>
              </w:rPr>
              <w:t>行业</w:t>
            </w:r>
          </w:p>
        </w:tc>
        <w:tc>
          <w:tcPr>
            <w:tcW w:w="3628" w:type="dxa"/>
            <w:shd w:val="clear" w:color="auto" w:fill="FFFFFF" w:themeFill="background1"/>
            <w:vAlign w:val="center"/>
          </w:tcPr>
          <w:p w14:paraId="54117D06">
            <w:pPr>
              <w:ind w:firstLine="480" w:firstLineChars="200"/>
              <w:jc w:val="left"/>
              <w:rPr>
                <w:sz w:val="24"/>
                <w:szCs w:val="28"/>
              </w:rPr>
            </w:pPr>
            <w:r>
              <w:rPr>
                <w:rFonts w:hint="eastAsia"/>
                <w:sz w:val="24"/>
                <w:szCs w:val="28"/>
              </w:rPr>
              <w:t>引领行业发展</w:t>
            </w:r>
            <w:r>
              <w:rPr>
                <w:sz w:val="24"/>
                <w:szCs w:val="28"/>
              </w:rPr>
              <w:t xml:space="preserve">  </w:t>
            </w:r>
          </w:p>
          <w:p w14:paraId="215F5F1B">
            <w:pPr>
              <w:ind w:firstLine="480" w:firstLineChars="200"/>
              <w:jc w:val="left"/>
              <w:rPr>
                <w:sz w:val="24"/>
                <w:szCs w:val="28"/>
              </w:rPr>
            </w:pPr>
            <w:r>
              <w:rPr>
                <w:sz w:val="24"/>
                <w:szCs w:val="28"/>
              </w:rPr>
              <w:t>提升产品与服务品质</w:t>
            </w:r>
          </w:p>
        </w:tc>
        <w:tc>
          <w:tcPr>
            <w:tcW w:w="2939" w:type="dxa"/>
            <w:shd w:val="clear" w:color="auto" w:fill="FFFFFF" w:themeFill="background1"/>
            <w:vAlign w:val="center"/>
          </w:tcPr>
          <w:p w14:paraId="230A76C9">
            <w:pPr>
              <w:ind w:firstLine="480" w:firstLineChars="200"/>
              <w:jc w:val="left"/>
              <w:rPr>
                <w:sz w:val="24"/>
                <w:szCs w:val="28"/>
              </w:rPr>
            </w:pPr>
            <w:r>
              <w:rPr>
                <w:rFonts w:hint="eastAsia"/>
                <w:sz w:val="24"/>
                <w:szCs w:val="28"/>
              </w:rPr>
              <w:t>行业交流</w:t>
            </w:r>
            <w:r>
              <w:rPr>
                <w:sz w:val="24"/>
                <w:szCs w:val="28"/>
              </w:rPr>
              <w:t xml:space="preserve"> </w:t>
            </w:r>
          </w:p>
          <w:p w14:paraId="212B0DC7">
            <w:pPr>
              <w:ind w:firstLine="480" w:firstLineChars="200"/>
              <w:jc w:val="left"/>
              <w:rPr>
                <w:sz w:val="24"/>
                <w:szCs w:val="28"/>
              </w:rPr>
            </w:pPr>
            <w:r>
              <w:rPr>
                <w:sz w:val="24"/>
                <w:szCs w:val="28"/>
              </w:rPr>
              <w:t>业内合作</w:t>
            </w:r>
          </w:p>
        </w:tc>
      </w:tr>
      <w:tr w14:paraId="7B61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2233" w:type="dxa"/>
            <w:shd w:val="clear" w:color="auto" w:fill="FFFFFF" w:themeFill="background1"/>
            <w:vAlign w:val="center"/>
          </w:tcPr>
          <w:p w14:paraId="3DA06A41">
            <w:pPr>
              <w:jc w:val="center"/>
              <w:rPr>
                <w:sz w:val="24"/>
                <w:szCs w:val="28"/>
              </w:rPr>
            </w:pPr>
            <w:r>
              <w:rPr>
                <w:rFonts w:hint="eastAsia"/>
                <w:sz w:val="24"/>
                <w:szCs w:val="28"/>
              </w:rPr>
              <w:t>供应商及合作伙伴</w:t>
            </w:r>
          </w:p>
        </w:tc>
        <w:tc>
          <w:tcPr>
            <w:tcW w:w="3628" w:type="dxa"/>
            <w:shd w:val="clear" w:color="auto" w:fill="FFFFFF" w:themeFill="background1"/>
            <w:vAlign w:val="center"/>
          </w:tcPr>
          <w:p w14:paraId="072EA640">
            <w:pPr>
              <w:ind w:firstLine="480" w:firstLineChars="200"/>
              <w:jc w:val="left"/>
              <w:rPr>
                <w:sz w:val="24"/>
                <w:szCs w:val="28"/>
              </w:rPr>
            </w:pPr>
            <w:r>
              <w:rPr>
                <w:rFonts w:hint="eastAsia"/>
                <w:sz w:val="24"/>
                <w:szCs w:val="28"/>
              </w:rPr>
              <w:t>信守合约</w:t>
            </w:r>
            <w:r>
              <w:rPr>
                <w:sz w:val="24"/>
                <w:szCs w:val="28"/>
              </w:rPr>
              <w:t xml:space="preserve"> </w:t>
            </w:r>
          </w:p>
          <w:p w14:paraId="22D53C18">
            <w:pPr>
              <w:ind w:firstLine="480" w:firstLineChars="200"/>
              <w:jc w:val="left"/>
              <w:rPr>
                <w:sz w:val="24"/>
                <w:szCs w:val="28"/>
              </w:rPr>
            </w:pPr>
            <w:r>
              <w:rPr>
                <w:sz w:val="24"/>
                <w:szCs w:val="28"/>
              </w:rPr>
              <w:t xml:space="preserve">互利共赢、长期合作 </w:t>
            </w:r>
          </w:p>
          <w:p w14:paraId="21FB965B">
            <w:pPr>
              <w:ind w:firstLine="480" w:firstLineChars="200"/>
              <w:jc w:val="left"/>
              <w:rPr>
                <w:sz w:val="24"/>
                <w:szCs w:val="28"/>
              </w:rPr>
            </w:pPr>
            <w:r>
              <w:rPr>
                <w:sz w:val="24"/>
                <w:szCs w:val="28"/>
              </w:rPr>
              <w:t>完善供应链管理</w:t>
            </w:r>
          </w:p>
        </w:tc>
        <w:tc>
          <w:tcPr>
            <w:tcW w:w="2939" w:type="dxa"/>
            <w:shd w:val="clear" w:color="auto" w:fill="FFFFFF" w:themeFill="background1"/>
            <w:vAlign w:val="center"/>
          </w:tcPr>
          <w:p w14:paraId="50CC845A">
            <w:pPr>
              <w:ind w:firstLine="480" w:firstLineChars="200"/>
              <w:jc w:val="left"/>
              <w:rPr>
                <w:sz w:val="24"/>
                <w:szCs w:val="28"/>
              </w:rPr>
            </w:pPr>
            <w:r>
              <w:rPr>
                <w:rFonts w:hint="eastAsia"/>
                <w:sz w:val="24"/>
                <w:szCs w:val="28"/>
              </w:rPr>
              <w:t>商务谈判</w:t>
            </w:r>
            <w:r>
              <w:rPr>
                <w:sz w:val="24"/>
                <w:szCs w:val="28"/>
              </w:rPr>
              <w:t xml:space="preserve"> </w:t>
            </w:r>
          </w:p>
          <w:p w14:paraId="25D72C28">
            <w:pPr>
              <w:ind w:firstLine="480" w:firstLineChars="200"/>
              <w:jc w:val="left"/>
              <w:rPr>
                <w:sz w:val="24"/>
                <w:szCs w:val="28"/>
              </w:rPr>
            </w:pPr>
            <w:r>
              <w:rPr>
                <w:sz w:val="24"/>
                <w:szCs w:val="28"/>
              </w:rPr>
              <w:t xml:space="preserve">项目合作 </w:t>
            </w:r>
          </w:p>
          <w:p w14:paraId="53A61741">
            <w:pPr>
              <w:ind w:firstLine="480" w:firstLineChars="200"/>
              <w:jc w:val="left"/>
              <w:rPr>
                <w:sz w:val="24"/>
                <w:szCs w:val="28"/>
              </w:rPr>
            </w:pPr>
            <w:r>
              <w:rPr>
                <w:sz w:val="24"/>
                <w:szCs w:val="28"/>
              </w:rPr>
              <w:t>业务往来及交流</w:t>
            </w:r>
          </w:p>
        </w:tc>
      </w:tr>
      <w:tr w14:paraId="0B07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2233" w:type="dxa"/>
            <w:shd w:val="clear" w:color="auto" w:fill="FFFFFF" w:themeFill="background1"/>
            <w:vAlign w:val="center"/>
          </w:tcPr>
          <w:p w14:paraId="1D1B681C">
            <w:pPr>
              <w:jc w:val="center"/>
              <w:rPr>
                <w:sz w:val="24"/>
                <w:szCs w:val="28"/>
              </w:rPr>
            </w:pPr>
            <w:r>
              <w:rPr>
                <w:rFonts w:hint="eastAsia"/>
                <w:sz w:val="24"/>
                <w:szCs w:val="28"/>
              </w:rPr>
              <w:t>自然环境</w:t>
            </w:r>
          </w:p>
        </w:tc>
        <w:tc>
          <w:tcPr>
            <w:tcW w:w="3628" w:type="dxa"/>
            <w:shd w:val="clear" w:color="auto" w:fill="FFFFFF" w:themeFill="background1"/>
            <w:vAlign w:val="center"/>
          </w:tcPr>
          <w:p w14:paraId="113E0B55">
            <w:pPr>
              <w:jc w:val="left"/>
              <w:rPr>
                <w:sz w:val="24"/>
                <w:szCs w:val="28"/>
              </w:rPr>
            </w:pPr>
            <w:r>
              <w:rPr>
                <w:rFonts w:hint="eastAsia"/>
                <w:sz w:val="24"/>
                <w:szCs w:val="28"/>
              </w:rPr>
              <w:t>提供环境友好型产品及服务</w:t>
            </w:r>
          </w:p>
          <w:p w14:paraId="0270782C">
            <w:pPr>
              <w:ind w:firstLine="480" w:firstLineChars="200"/>
              <w:jc w:val="left"/>
              <w:rPr>
                <w:sz w:val="24"/>
                <w:szCs w:val="28"/>
              </w:rPr>
            </w:pPr>
            <w:r>
              <w:rPr>
                <w:sz w:val="24"/>
                <w:szCs w:val="28"/>
              </w:rPr>
              <w:t>生态环保</w:t>
            </w:r>
          </w:p>
          <w:p w14:paraId="025F941B">
            <w:pPr>
              <w:ind w:firstLine="480" w:firstLineChars="200"/>
              <w:jc w:val="left"/>
              <w:rPr>
                <w:sz w:val="24"/>
                <w:szCs w:val="28"/>
              </w:rPr>
            </w:pPr>
            <w:r>
              <w:rPr>
                <w:sz w:val="24"/>
                <w:szCs w:val="28"/>
              </w:rPr>
              <w:t xml:space="preserve">绿色运营 </w:t>
            </w:r>
          </w:p>
          <w:p w14:paraId="4045C6F6">
            <w:pPr>
              <w:ind w:firstLine="480" w:firstLineChars="200"/>
              <w:jc w:val="left"/>
              <w:rPr>
                <w:sz w:val="24"/>
                <w:szCs w:val="28"/>
              </w:rPr>
            </w:pPr>
            <w:r>
              <w:rPr>
                <w:sz w:val="24"/>
                <w:szCs w:val="28"/>
              </w:rPr>
              <w:t xml:space="preserve">环保理念宣传 </w:t>
            </w:r>
          </w:p>
          <w:p w14:paraId="06C02825">
            <w:pPr>
              <w:ind w:firstLine="480" w:firstLineChars="200"/>
              <w:jc w:val="left"/>
              <w:rPr>
                <w:sz w:val="24"/>
                <w:szCs w:val="28"/>
              </w:rPr>
            </w:pPr>
            <w:r>
              <w:rPr>
                <w:sz w:val="24"/>
                <w:szCs w:val="28"/>
              </w:rPr>
              <w:t>生态修复</w:t>
            </w:r>
          </w:p>
        </w:tc>
        <w:tc>
          <w:tcPr>
            <w:tcW w:w="2939" w:type="dxa"/>
            <w:shd w:val="clear" w:color="auto" w:fill="FFFFFF" w:themeFill="background1"/>
            <w:vAlign w:val="center"/>
          </w:tcPr>
          <w:p w14:paraId="1858D0E4">
            <w:pPr>
              <w:ind w:firstLine="480" w:firstLineChars="200"/>
              <w:jc w:val="left"/>
              <w:rPr>
                <w:sz w:val="24"/>
                <w:szCs w:val="28"/>
              </w:rPr>
            </w:pPr>
            <w:r>
              <w:rPr>
                <w:rFonts w:hint="eastAsia"/>
                <w:sz w:val="24"/>
                <w:szCs w:val="28"/>
              </w:rPr>
              <w:t>项目与环境影响公众</w:t>
            </w:r>
            <w:r>
              <w:rPr>
                <w:sz w:val="24"/>
                <w:szCs w:val="28"/>
              </w:rPr>
              <w:t xml:space="preserve"> </w:t>
            </w:r>
          </w:p>
          <w:p w14:paraId="16C8F889">
            <w:pPr>
              <w:ind w:firstLine="480" w:firstLineChars="200"/>
              <w:jc w:val="left"/>
              <w:rPr>
                <w:sz w:val="24"/>
                <w:szCs w:val="28"/>
              </w:rPr>
            </w:pPr>
            <w:r>
              <w:rPr>
                <w:sz w:val="24"/>
                <w:szCs w:val="28"/>
              </w:rPr>
              <w:t xml:space="preserve">调查 </w:t>
            </w:r>
          </w:p>
          <w:p w14:paraId="18E969E4">
            <w:pPr>
              <w:ind w:firstLine="480" w:firstLineChars="200"/>
              <w:jc w:val="left"/>
              <w:rPr>
                <w:sz w:val="24"/>
                <w:szCs w:val="28"/>
              </w:rPr>
            </w:pPr>
            <w:r>
              <w:rPr>
                <w:sz w:val="24"/>
                <w:szCs w:val="28"/>
              </w:rPr>
              <w:t>环保组织沟通</w:t>
            </w:r>
          </w:p>
        </w:tc>
      </w:tr>
      <w:tr w14:paraId="3C4DE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2233" w:type="dxa"/>
            <w:shd w:val="clear" w:color="auto" w:fill="FFFFFF" w:themeFill="background1"/>
            <w:vAlign w:val="center"/>
          </w:tcPr>
          <w:p w14:paraId="624BFB8B">
            <w:pPr>
              <w:jc w:val="center"/>
              <w:rPr>
                <w:sz w:val="24"/>
                <w:szCs w:val="28"/>
              </w:rPr>
            </w:pPr>
            <w:r>
              <w:rPr>
                <w:rFonts w:hint="eastAsia"/>
                <w:sz w:val="24"/>
                <w:szCs w:val="28"/>
              </w:rPr>
              <w:t>社会公众</w:t>
            </w:r>
          </w:p>
        </w:tc>
        <w:tc>
          <w:tcPr>
            <w:tcW w:w="3628" w:type="dxa"/>
            <w:shd w:val="clear" w:color="auto" w:fill="FFFFFF" w:themeFill="background1"/>
            <w:vAlign w:val="center"/>
          </w:tcPr>
          <w:p w14:paraId="29BE450C">
            <w:pPr>
              <w:ind w:firstLine="480" w:firstLineChars="200"/>
              <w:jc w:val="left"/>
              <w:rPr>
                <w:rFonts w:hint="eastAsia"/>
                <w:sz w:val="24"/>
                <w:szCs w:val="28"/>
              </w:rPr>
            </w:pPr>
            <w:r>
              <w:rPr>
                <w:rFonts w:hint="eastAsia"/>
                <w:sz w:val="24"/>
                <w:szCs w:val="28"/>
              </w:rPr>
              <w:t>提供安全可靠的产品</w:t>
            </w:r>
          </w:p>
          <w:p w14:paraId="2CF2D31E">
            <w:pPr>
              <w:ind w:firstLine="480" w:firstLineChars="200"/>
              <w:jc w:val="left"/>
              <w:rPr>
                <w:sz w:val="24"/>
                <w:szCs w:val="28"/>
              </w:rPr>
            </w:pPr>
            <w:r>
              <w:rPr>
                <w:sz w:val="24"/>
                <w:szCs w:val="28"/>
              </w:rPr>
              <w:t xml:space="preserve"> 稳定就业 </w:t>
            </w:r>
          </w:p>
          <w:p w14:paraId="43ED7411">
            <w:pPr>
              <w:ind w:firstLine="480" w:firstLineChars="200"/>
              <w:jc w:val="left"/>
              <w:rPr>
                <w:rFonts w:hint="eastAsia" w:eastAsiaTheme="minorEastAsia"/>
                <w:sz w:val="24"/>
                <w:szCs w:val="28"/>
                <w:lang w:val="en-US" w:eastAsia="zh-CN"/>
              </w:rPr>
            </w:pPr>
            <w:r>
              <w:rPr>
                <w:sz w:val="24"/>
                <w:szCs w:val="28"/>
              </w:rPr>
              <w:t>共建和谐</w:t>
            </w:r>
            <w:r>
              <w:rPr>
                <w:rFonts w:hint="eastAsia"/>
                <w:sz w:val="24"/>
                <w:szCs w:val="28"/>
                <w:lang w:val="en-US" w:eastAsia="zh-CN"/>
              </w:rPr>
              <w:t>社会</w:t>
            </w:r>
          </w:p>
        </w:tc>
        <w:tc>
          <w:tcPr>
            <w:tcW w:w="2939" w:type="dxa"/>
            <w:shd w:val="clear" w:color="auto" w:fill="FFFFFF" w:themeFill="background1"/>
            <w:vAlign w:val="center"/>
          </w:tcPr>
          <w:p w14:paraId="42763F33">
            <w:pPr>
              <w:ind w:firstLine="480" w:firstLineChars="200"/>
              <w:jc w:val="left"/>
              <w:rPr>
                <w:sz w:val="24"/>
                <w:szCs w:val="28"/>
              </w:rPr>
            </w:pPr>
            <w:r>
              <w:rPr>
                <w:sz w:val="24"/>
                <w:szCs w:val="28"/>
              </w:rPr>
              <w:t>公益活动</w:t>
            </w:r>
          </w:p>
        </w:tc>
      </w:tr>
    </w:tbl>
    <w:p w14:paraId="6EBC73A4">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9E76AE5">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b w:val="0"/>
          <w:bCs w:val="0"/>
          <w:kern w:val="2"/>
          <w:sz w:val="28"/>
          <w:szCs w:val="28"/>
          <w:shd w:val="clear" w:color="auto" w:fill="FFFFFF" w:themeFill="background1"/>
          <w:lang w:val="en-US" w:eastAsia="zh-CN" w:bidi="ar-SA"/>
        </w:rPr>
      </w:pPr>
      <w:r>
        <w:rPr>
          <w:rFonts w:hint="eastAsia" w:ascii="宋体" w:hAnsi="宋体" w:eastAsia="宋体" w:cs="宋体"/>
          <w:b w:val="0"/>
          <w:bCs w:val="0"/>
          <w:kern w:val="2"/>
          <w:sz w:val="28"/>
          <w:szCs w:val="28"/>
          <w:shd w:val="clear" w:color="auto" w:fill="FFFFFF" w:themeFill="background1"/>
          <w:lang w:val="en-US" w:eastAsia="zh-CN" w:bidi="ar-SA"/>
        </w:rPr>
        <w:t>公司对勤勤恳恳、兢兢业业的汇丰员工用心关怀，2024年在各行业经济环境下滑，水泥企业举步维艰的大背景下，从不拖欠员工工资，让员工与公司共享发展成果，发挥汇丰精神，真正做到以情留人。</w:t>
      </w:r>
    </w:p>
    <w:p w14:paraId="4AB91C17">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shd w:val="clear" w:color="auto" w:fill="FFFFFF" w:themeFill="background1"/>
          <w:lang w:val="en-US" w:eastAsia="zh-CN" w:bidi="ar-SA"/>
        </w:rPr>
      </w:pPr>
      <w:r>
        <w:rPr>
          <w:rFonts w:hint="eastAsia" w:ascii="宋体" w:hAnsi="宋体" w:eastAsia="宋体" w:cs="宋体"/>
          <w:b w:val="0"/>
          <w:bCs w:val="0"/>
          <w:kern w:val="2"/>
          <w:sz w:val="28"/>
          <w:szCs w:val="28"/>
          <w:shd w:val="clear" w:color="auto" w:fill="FFFFFF" w:themeFill="background1"/>
          <w:lang w:val="en-US" w:eastAsia="zh-CN" w:bidi="ar-SA"/>
        </w:rPr>
        <w:t>公司对于贪腐问题，我们坚定立场，以零容忍的态度惩治腐败，加大廉政教育宣传，努力营造风清气正的和谐氛围，维护公平竞争的市场环境。</w:t>
      </w:r>
    </w:p>
    <w:p w14:paraId="6787E5BB">
      <w:pPr>
        <w:pStyle w:val="2"/>
        <w:numPr>
          <w:ilvl w:val="0"/>
          <w:numId w:val="1"/>
        </w:numPr>
        <w:bidi w:val="0"/>
        <w:rPr>
          <w:rFonts w:hint="eastAsia"/>
          <w:lang w:val="en-US" w:eastAsia="zh-CN"/>
        </w:rPr>
      </w:pPr>
      <w:bookmarkStart w:id="35" w:name="_Toc11329"/>
      <w:bookmarkStart w:id="36" w:name="_Toc19675"/>
      <w:bookmarkStart w:id="37" w:name="_Toc3415"/>
      <w:r>
        <w:rPr>
          <w:rFonts w:hint="eastAsia"/>
          <w:lang w:val="en-US" w:eastAsia="zh-CN"/>
        </w:rPr>
        <w:t>行业领军，同创绿色未来</w:t>
      </w:r>
      <w:bookmarkEnd w:id="35"/>
      <w:bookmarkEnd w:id="36"/>
      <w:bookmarkEnd w:id="37"/>
    </w:p>
    <w:p w14:paraId="4948547E">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汇丰公司努力坚守企业责任，在生态环境治理方面一直深耕，在2021年完成山西省大气污染深度治理超低排放改造项目的基础上，2024年持续推进大气污染超低排放深度治理，力争在2025年通过国家超低排放改造项目的验收。</w:t>
      </w:r>
    </w:p>
    <w:p w14:paraId="40B95C13">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山西汇丰屹立环保科技有限公司依托侯马市汇丰建材有限责任公司2500t/d新型干法水泥窑生产线协同处置危险废物。公司率先使用互联网，运营手机APP系统，对分析、监督、合同、准入、出入库、库房管理、统计全部实现在线监控,成为国内利用水泥窑协同处置危险废物先进企业，为减少周边地区危险废物带来的环境安全隐患提供了有力保障。</w:t>
      </w:r>
    </w:p>
    <w:p w14:paraId="692A12C6">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将环保产业作为重点发展方向，依托新型干法水泥企业开展废弃物协同处置为开端，向城市废弃物无害化处置和资源化综合利用方向发展，以利用水泥窑协同处置为核心，践行水泥企业循环经济发展之路，构建山西省南部地区循环经济产业示范园，实现经济效益、社会效益和生态效益的协调统一。未来公司将携手行业，</w:t>
      </w:r>
      <w:r>
        <w:rPr>
          <w:rFonts w:hint="eastAsia" w:ascii="宋体" w:hAnsi="宋体" w:eastAsia="宋体" w:cs="宋体"/>
          <w:sz w:val="28"/>
          <w:szCs w:val="28"/>
        </w:rPr>
        <w:t>共同</w:t>
      </w:r>
      <w:r>
        <w:rPr>
          <w:rFonts w:hint="eastAsia" w:ascii="宋体" w:hAnsi="宋体" w:eastAsia="宋体" w:cs="宋体"/>
          <w:sz w:val="28"/>
          <w:szCs w:val="28"/>
          <w:lang w:val="en-US" w:eastAsia="zh-CN"/>
        </w:rPr>
        <w:t>创建</w:t>
      </w:r>
      <w:r>
        <w:rPr>
          <w:rFonts w:hint="eastAsia" w:ascii="宋体" w:hAnsi="宋体" w:eastAsia="宋体" w:cs="宋体"/>
          <w:sz w:val="28"/>
          <w:szCs w:val="28"/>
        </w:rPr>
        <w:t>城市发展的绿色未来</w:t>
      </w:r>
      <w:r>
        <w:rPr>
          <w:rFonts w:hint="eastAsia" w:ascii="宋体" w:hAnsi="宋体" w:eastAsia="宋体" w:cs="宋体"/>
          <w:sz w:val="28"/>
          <w:szCs w:val="28"/>
          <w:lang w:eastAsia="zh-CN"/>
        </w:rPr>
        <w:t>。</w:t>
      </w:r>
    </w:p>
    <w:p w14:paraId="0D590CE8">
      <w:pPr>
        <w:pStyle w:val="3"/>
        <w:bidi w:val="0"/>
        <w:spacing w:line="360" w:lineRule="auto"/>
        <w:ind w:firstLine="321" w:firstLineChars="100"/>
        <w:rPr>
          <w:rFonts w:hint="eastAsia"/>
          <w:lang w:val="en-US" w:eastAsia="zh-CN"/>
        </w:rPr>
      </w:pPr>
      <w:bookmarkStart w:id="38" w:name="_Toc29684"/>
      <w:bookmarkStart w:id="39" w:name="_Toc20343"/>
      <w:bookmarkStart w:id="40" w:name="_Toc32553"/>
      <w:r>
        <w:rPr>
          <w:rFonts w:hint="eastAsia"/>
          <w:lang w:val="en-US" w:eastAsia="zh-CN"/>
        </w:rPr>
        <w:t>3.1强化环保管控</w:t>
      </w:r>
      <w:bookmarkEnd w:id="38"/>
      <w:bookmarkEnd w:id="39"/>
      <w:bookmarkEnd w:id="40"/>
    </w:p>
    <w:p w14:paraId="06D2890B">
      <w:pPr>
        <w:pStyle w:val="4"/>
        <w:bidi w:val="0"/>
        <w:ind w:firstLine="643" w:firstLineChars="200"/>
        <w:rPr>
          <w:rFonts w:hint="eastAsia"/>
          <w:lang w:val="en-US" w:eastAsia="zh-CN"/>
        </w:rPr>
      </w:pPr>
      <w:bookmarkStart w:id="41" w:name="_Toc29495"/>
      <w:bookmarkStart w:id="42" w:name="_Toc3103"/>
      <w:r>
        <w:rPr>
          <w:rFonts w:hint="eastAsia"/>
          <w:lang w:val="en-US" w:eastAsia="zh-CN"/>
        </w:rPr>
        <w:t>3.1.1 深度治理改造，企业环保绩效升级</w:t>
      </w:r>
      <w:bookmarkEnd w:id="41"/>
      <w:bookmarkEnd w:id="42"/>
    </w:p>
    <w:p w14:paraId="7356926A">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企业既是生产经营活动的主体，也是环境保护的责任主体，管生产先要管环保。环保绩效升级是落实企业环境保护主体责任的重要途径。汇丰公司2024年被确定为山西省熟料生产线环保绩效A级企业。</w:t>
      </w:r>
    </w:p>
    <w:p w14:paraId="7D8B6751">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default" w:ascii="宋体" w:hAnsi="宋体" w:eastAsia="宋体" w:cs="宋体"/>
          <w:b w:val="0"/>
          <w:bCs w:val="0"/>
          <w:kern w:val="2"/>
          <w:sz w:val="28"/>
          <w:szCs w:val="28"/>
          <w:lang w:val="en-US" w:eastAsia="zh-CN" w:bidi="ar-SA"/>
        </w:rPr>
      </w:pPr>
      <w:bookmarkStart w:id="43" w:name="_Toc9878"/>
      <w:r>
        <w:rPr>
          <w:rFonts w:hint="eastAsia" w:ascii="宋体" w:hAnsi="宋体" w:eastAsia="宋体" w:cs="宋体"/>
          <w:b w:val="0"/>
          <w:bCs w:val="0"/>
          <w:kern w:val="2"/>
          <w:sz w:val="28"/>
          <w:szCs w:val="28"/>
          <w:lang w:val="en-US" w:eastAsia="zh-CN" w:bidi="ar-SA"/>
        </w:rPr>
        <w:t>生产线共配备57套高效布袋除尘器，</w:t>
      </w:r>
      <w:bookmarkEnd w:id="43"/>
      <w:r>
        <w:rPr>
          <w:rFonts w:hint="eastAsia" w:ascii="宋体" w:hAnsi="宋体" w:eastAsia="宋体" w:cs="宋体"/>
          <w:b w:val="0"/>
          <w:bCs w:val="0"/>
          <w:kern w:val="2"/>
          <w:sz w:val="28"/>
          <w:szCs w:val="28"/>
          <w:lang w:val="en-US" w:eastAsia="zh-CN" w:bidi="ar-SA"/>
        </w:rPr>
        <w:t>窑尾采用“高效低氮燃烧器+选择性非催化还原（SNCR）+覆膜袋式高效除尘设施+SCR脱硝系统”。在回转窑窑头、窑尾、水泥磨分别设置CEMS在线监测系统，对污染物排放实时监测。2024年在新增煤磨在线监测设施，并通过环保验收备案。在生产系统及污染治理系统安装DCS分布式控制系统。</w:t>
      </w:r>
    </w:p>
    <w:p w14:paraId="75CF1380">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物料全部封闭储存，料棚内安装了鹰眼视频监控设备，配备雾帘、雾泡、天雾等降尘设施；在各原料堆棚及熟料散装、水泥散装、水泥袋装安装自动门；原燃料进出口、车间进出口、货运道路路口均设置有空气质量监测微站，设置总悬浮颗粒物（TSP）浓度监测仪。建设规范化洗车台2座。</w:t>
      </w:r>
    </w:p>
    <w:p w14:paraId="277B45F9">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视频监控覆盖物料、燃料等运输车辆；进出企业厂区以及在场内装卸的所有场所，并与临汾市生态环境局实现联网。</w:t>
      </w:r>
    </w:p>
    <w:p w14:paraId="04DFC7FA">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建设全厂污染物排放管、控、治一体化监控平台，该平台覆盖全厂有组织排放、无组织排放以及清洁运输的监控管理，实现了从污染物到监控监测、从监控检测到远程决策、从远程决策到治理反馈的全过程数据互联互通。同时提供体统全过程实时、历史证据链，实现了对污染物排放的智能化自动管控和治理。</w:t>
      </w:r>
    </w:p>
    <w:p w14:paraId="4723483A">
      <w:pPr>
        <w:pStyle w:val="12"/>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default"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在基准氧含量10%的情况下，回转窑及窑尾余热利用系统烟气颗粒物、二氧化硫、氮氧化物排放浓度分别不高于10、35、50mg/m³，氨逃逸浓度不高于5mg/m³；其他一般排放口颗粒物排放浓度全部控制在10mg/m³以下。特别是回转窑增加一套SCR脱硝系统后，SCR+SNCR脱硝系统同步运行可大大减少氮氧化物排放。公司是山西省首家安装SCR脱硝系统的水泥企业，为推动水泥行业脱硝治理起到了行业标杆和带动作用。</w:t>
      </w:r>
    </w:p>
    <w:p w14:paraId="051165FD">
      <w:pPr>
        <w:pStyle w:val="4"/>
        <w:bidi w:val="0"/>
        <w:ind w:firstLine="643" w:firstLineChars="200"/>
        <w:rPr>
          <w:rFonts w:hint="default"/>
          <w:lang w:val="en-US" w:eastAsia="zh-CN"/>
        </w:rPr>
      </w:pPr>
      <w:bookmarkStart w:id="44" w:name="_Toc18414"/>
      <w:bookmarkStart w:id="45" w:name="_Toc15522"/>
      <w:r>
        <w:rPr>
          <w:rFonts w:hint="eastAsia"/>
          <w:lang w:val="en-US" w:eastAsia="zh-CN"/>
        </w:rPr>
        <w:t>3.1.2 危险废物无害化处置</w:t>
      </w:r>
      <w:bookmarkEnd w:id="44"/>
      <w:bookmarkEnd w:id="45"/>
    </w:p>
    <w:p w14:paraId="3F6A270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公司2500t/d新型干法水泥窑生产线可协同处置</w:t>
      </w:r>
      <w:r>
        <w:rPr>
          <w:rFonts w:hint="eastAsia" w:ascii="宋体" w:hAnsi="宋体" w:eastAsia="宋体" w:cs="宋体"/>
          <w:sz w:val="28"/>
          <w:szCs w:val="28"/>
          <w:lang w:eastAsia="zh-CN"/>
        </w:rPr>
        <w:t>固态、半固态、液态各类危险废物</w:t>
      </w:r>
      <w:r>
        <w:rPr>
          <w:rFonts w:hint="eastAsia" w:ascii="宋体" w:hAnsi="宋体" w:eastAsia="宋体" w:cs="宋体"/>
          <w:sz w:val="28"/>
          <w:szCs w:val="28"/>
          <w:lang w:val="en-US" w:eastAsia="zh-CN"/>
        </w:rPr>
        <w:t>2000吨/年，涉及19大类，269种危险废物。积极消纳各行业的工业固废，</w:t>
      </w:r>
      <w:r>
        <w:rPr>
          <w:rFonts w:hint="eastAsia" w:ascii="宋体" w:hAnsi="宋体" w:eastAsia="宋体" w:cs="宋体"/>
          <w:color w:val="000000" w:themeColor="text1"/>
          <w:sz w:val="28"/>
          <w:szCs w:val="28"/>
          <w14:textFill>
            <w14:solidFill>
              <w14:schemeClr w14:val="tx1"/>
            </w14:solidFill>
          </w14:textFill>
        </w:rPr>
        <w:t>为山西省及临汾地区危险废物规范化处置提供了有力保障。</w:t>
      </w:r>
    </w:p>
    <w:p w14:paraId="4314E7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outlineLvl w:val="9"/>
        <w:rPr>
          <w:rFonts w:hint="eastAsia" w:ascii="宋体" w:hAnsi="宋体" w:eastAsia="宋体" w:cs="宋体"/>
          <w:sz w:val="28"/>
          <w:szCs w:val="28"/>
        </w:rPr>
      </w:pPr>
      <w:r>
        <w:rPr>
          <w:rFonts w:hint="eastAsia" w:ascii="宋体" w:hAnsi="宋体" w:cs="宋体"/>
          <w:sz w:val="28"/>
          <w:szCs w:val="28"/>
          <w:lang w:val="en-US" w:eastAsia="zh-CN"/>
        </w:rPr>
        <w:t>协同处置危险废物</w:t>
      </w:r>
      <w:r>
        <w:rPr>
          <w:rFonts w:hint="eastAsia" w:ascii="宋体" w:hAnsi="宋体" w:eastAsia="宋体" w:cs="宋体"/>
          <w:sz w:val="28"/>
          <w:szCs w:val="28"/>
          <w:lang w:eastAsia="zh-CN"/>
        </w:rPr>
        <w:t>项目</w:t>
      </w:r>
      <w:r>
        <w:rPr>
          <w:rFonts w:hint="eastAsia" w:ascii="宋体" w:hAnsi="宋体" w:eastAsia="宋体" w:cs="宋体"/>
          <w:sz w:val="28"/>
          <w:szCs w:val="28"/>
        </w:rPr>
        <w:t>规范化设施齐全</w:t>
      </w:r>
      <w:r>
        <w:rPr>
          <w:rFonts w:hint="eastAsia" w:ascii="宋体" w:hAnsi="宋体" w:cs="宋体"/>
          <w:sz w:val="28"/>
          <w:szCs w:val="28"/>
          <w:lang w:eastAsia="zh-CN"/>
        </w:rPr>
        <w:t>，</w:t>
      </w:r>
      <w:r>
        <w:rPr>
          <w:rFonts w:hint="eastAsia" w:ascii="宋体" w:hAnsi="宋体" w:eastAsia="宋体" w:cs="宋体"/>
          <w:sz w:val="28"/>
          <w:szCs w:val="28"/>
          <w:lang w:val="en-US" w:eastAsia="zh-CN"/>
        </w:rPr>
        <w:t>率先使用互联网，</w:t>
      </w:r>
      <w:r>
        <w:rPr>
          <w:rFonts w:hint="eastAsia" w:ascii="宋体" w:hAnsi="宋体" w:cs="宋体"/>
          <w:sz w:val="28"/>
          <w:szCs w:val="28"/>
          <w:lang w:val="en-US" w:eastAsia="zh-CN"/>
        </w:rPr>
        <w:t>对所有运营工作</w:t>
      </w:r>
      <w:r>
        <w:rPr>
          <w:rFonts w:hint="eastAsia" w:ascii="宋体" w:hAnsi="宋体" w:eastAsia="宋体" w:cs="宋体"/>
          <w:sz w:val="28"/>
          <w:szCs w:val="28"/>
          <w:lang w:val="en-US" w:eastAsia="zh-CN"/>
        </w:rPr>
        <w:t>全部实现在线监控,</w:t>
      </w:r>
      <w:r>
        <w:rPr>
          <w:rFonts w:hint="eastAsia" w:ascii="宋体" w:hAnsi="宋体" w:eastAsia="宋体" w:cs="宋体"/>
          <w:sz w:val="28"/>
          <w:szCs w:val="28"/>
        </w:rPr>
        <w:t>成为国内利用水泥窑协同处置危险废物先进企业</w:t>
      </w:r>
      <w:r>
        <w:rPr>
          <w:rFonts w:hint="eastAsia" w:ascii="宋体" w:hAnsi="宋体" w:cs="宋体"/>
          <w:sz w:val="28"/>
          <w:szCs w:val="28"/>
          <w:lang w:eastAsia="zh-CN"/>
        </w:rPr>
        <w:t>，</w:t>
      </w:r>
      <w:r>
        <w:rPr>
          <w:rFonts w:hint="eastAsia" w:ascii="宋体" w:hAnsi="宋体" w:eastAsia="宋体" w:cs="宋体"/>
          <w:sz w:val="28"/>
          <w:szCs w:val="28"/>
          <w:lang w:eastAsia="zh-CN"/>
        </w:rPr>
        <w:t>公司</w:t>
      </w:r>
      <w:r>
        <w:rPr>
          <w:rFonts w:hint="eastAsia" w:ascii="宋体" w:hAnsi="宋体" w:eastAsia="宋体" w:cs="宋体"/>
          <w:sz w:val="28"/>
          <w:szCs w:val="28"/>
          <w:lang w:val="en-US" w:eastAsia="zh-CN"/>
        </w:rPr>
        <w:t>自成立以来与</w:t>
      </w:r>
      <w:r>
        <w:rPr>
          <w:rFonts w:hint="eastAsia" w:ascii="宋体" w:hAnsi="宋体" w:eastAsia="宋体" w:cs="宋体"/>
          <w:sz w:val="28"/>
          <w:szCs w:val="28"/>
        </w:rPr>
        <w:t>山西省内</w:t>
      </w:r>
      <w:r>
        <w:rPr>
          <w:rFonts w:hint="eastAsia" w:ascii="宋体" w:hAnsi="宋体" w:eastAsia="宋体" w:cs="宋体"/>
          <w:sz w:val="28"/>
          <w:szCs w:val="28"/>
          <w:lang w:eastAsia="zh-CN"/>
        </w:rPr>
        <w:t>的临汾市、运城市、晋中市、太原市、长治市等各</w:t>
      </w:r>
      <w:r>
        <w:rPr>
          <w:rFonts w:hint="eastAsia" w:ascii="宋体" w:hAnsi="宋体" w:eastAsia="宋体" w:cs="宋体"/>
          <w:sz w:val="28"/>
          <w:szCs w:val="28"/>
        </w:rPr>
        <w:t>地市产废生单位签订处置协议，省外签约客户辐射北京、江苏、山东、广东</w:t>
      </w:r>
      <w:r>
        <w:rPr>
          <w:rFonts w:hint="eastAsia" w:ascii="宋体" w:hAnsi="宋体" w:eastAsia="宋体" w:cs="宋体"/>
          <w:sz w:val="28"/>
          <w:szCs w:val="28"/>
          <w:lang w:eastAsia="zh-CN"/>
        </w:rPr>
        <w:t>、天津</w:t>
      </w:r>
      <w:r>
        <w:rPr>
          <w:rFonts w:hint="eastAsia" w:ascii="宋体" w:hAnsi="宋体" w:eastAsia="宋体" w:cs="宋体"/>
          <w:sz w:val="28"/>
          <w:szCs w:val="28"/>
        </w:rPr>
        <w:t>等地</w:t>
      </w:r>
      <w:r>
        <w:rPr>
          <w:rFonts w:hint="eastAsia" w:ascii="宋体" w:hAnsi="宋体" w:eastAsia="宋体" w:cs="宋体"/>
          <w:sz w:val="28"/>
          <w:szCs w:val="28"/>
          <w:lang w:val="en-US" w:eastAsia="zh-CN"/>
        </w:rPr>
        <w:t>。2024</w:t>
      </w:r>
      <w:r>
        <w:rPr>
          <w:rFonts w:hint="eastAsia" w:ascii="宋体" w:hAnsi="宋体" w:eastAsia="宋体" w:cs="宋体"/>
          <w:sz w:val="28"/>
          <w:szCs w:val="28"/>
          <w:lang w:eastAsia="zh-CN"/>
        </w:rPr>
        <w:t>年度</w:t>
      </w:r>
      <w:r>
        <w:rPr>
          <w:rFonts w:hint="eastAsia" w:ascii="宋体" w:hAnsi="宋体" w:eastAsia="宋体" w:cs="宋体"/>
          <w:sz w:val="28"/>
          <w:szCs w:val="28"/>
          <w:lang w:val="en-US" w:eastAsia="zh-CN"/>
        </w:rPr>
        <w:t>危废</w:t>
      </w:r>
      <w:r>
        <w:rPr>
          <w:rFonts w:hint="eastAsia" w:ascii="宋体" w:hAnsi="宋体" w:eastAsia="宋体" w:cs="宋体"/>
          <w:sz w:val="28"/>
          <w:szCs w:val="28"/>
          <w:lang w:eastAsia="zh-CN"/>
        </w:rPr>
        <w:t>处置量：</w:t>
      </w:r>
      <w:r>
        <w:rPr>
          <w:rFonts w:hint="eastAsia" w:ascii="宋体" w:hAnsi="宋体" w:eastAsia="宋体" w:cs="宋体"/>
          <w:sz w:val="28"/>
          <w:szCs w:val="28"/>
          <w:lang w:val="en-US" w:eastAsia="zh-CN"/>
        </w:rPr>
        <w:t>3642.430755吨</w:t>
      </w:r>
      <w:r>
        <w:rPr>
          <w:rFonts w:hint="eastAsia" w:ascii="宋体" w:hAnsi="宋体" w:eastAsia="宋体" w:cs="宋体"/>
          <w:sz w:val="28"/>
          <w:szCs w:val="28"/>
          <w:lang w:eastAsia="zh-CN"/>
        </w:rPr>
        <w:t>。</w:t>
      </w:r>
      <w:r>
        <w:rPr>
          <w:rFonts w:hint="eastAsia" w:ascii="宋体" w:hAnsi="宋体" w:eastAsia="宋体" w:cs="宋体"/>
          <w:b w:val="0"/>
          <w:bCs w:val="0"/>
          <w:sz w:val="28"/>
          <w:szCs w:val="28"/>
          <w:lang w:val="en-US" w:eastAsia="zh-CN"/>
        </w:rPr>
        <w:t>在各级政府和各县市环境保护局统一指挥协调下，</w:t>
      </w:r>
      <w:r>
        <w:rPr>
          <w:rFonts w:hint="eastAsia" w:ascii="宋体" w:hAnsi="宋体" w:eastAsia="宋体" w:cs="宋体"/>
          <w:sz w:val="28"/>
          <w:szCs w:val="28"/>
        </w:rPr>
        <w:t>公司</w:t>
      </w:r>
      <w:r>
        <w:rPr>
          <w:rFonts w:hint="eastAsia" w:ascii="宋体" w:hAnsi="宋体" w:eastAsia="宋体" w:cs="宋体"/>
          <w:sz w:val="28"/>
          <w:szCs w:val="28"/>
          <w:lang w:val="en-US" w:eastAsia="zh-CN"/>
        </w:rPr>
        <w:t>先后</w:t>
      </w:r>
      <w:r>
        <w:rPr>
          <w:rFonts w:hint="eastAsia" w:ascii="宋体" w:hAnsi="宋体" w:eastAsia="宋体" w:cs="宋体"/>
          <w:sz w:val="28"/>
          <w:szCs w:val="28"/>
        </w:rPr>
        <w:t>共参与处置</w:t>
      </w:r>
      <w:r>
        <w:rPr>
          <w:rFonts w:hint="eastAsia" w:ascii="宋体" w:hAnsi="宋体" w:eastAsia="宋体" w:cs="宋体"/>
          <w:sz w:val="28"/>
          <w:szCs w:val="28"/>
          <w:lang w:val="en-US" w:eastAsia="zh-CN"/>
        </w:rPr>
        <w:t>20多</w:t>
      </w:r>
      <w:r>
        <w:rPr>
          <w:rFonts w:hint="eastAsia" w:ascii="宋体" w:hAnsi="宋体" w:eastAsia="宋体" w:cs="宋体"/>
          <w:sz w:val="28"/>
          <w:szCs w:val="28"/>
        </w:rPr>
        <w:t>起突发环境</w:t>
      </w:r>
      <w:r>
        <w:rPr>
          <w:rFonts w:hint="eastAsia" w:ascii="宋体" w:hAnsi="宋体" w:eastAsia="宋体" w:cs="宋体"/>
          <w:sz w:val="28"/>
          <w:szCs w:val="28"/>
          <w:lang w:eastAsia="zh-CN"/>
        </w:rPr>
        <w:t>应急</w:t>
      </w:r>
      <w:r>
        <w:rPr>
          <w:rFonts w:hint="eastAsia" w:ascii="宋体" w:hAnsi="宋体" w:eastAsia="宋体" w:cs="宋体"/>
          <w:sz w:val="28"/>
          <w:szCs w:val="28"/>
        </w:rPr>
        <w:t>事件。作为危险废物处置单位，公司为完善各级政府相关部门和应急救援队伍的衔接和应急联动体系，有效快速的应对环境污染，保证区域环境安全提供科学的应急措施，在突发环境污染事件的危险废物应急处置中发挥了重要作用。</w:t>
      </w:r>
    </w:p>
    <w:p w14:paraId="394AA3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lang w:eastAsia="zh-CN"/>
        </w:rPr>
      </w:pPr>
      <w:r>
        <w:rPr>
          <w:rFonts w:hint="eastAsia" w:ascii="宋体" w:hAnsi="宋体" w:eastAsia="宋体" w:cs="宋体"/>
          <w:sz w:val="28"/>
          <w:szCs w:val="28"/>
        </w:rPr>
        <w:t>在防控新冠病毒疫情</w:t>
      </w:r>
      <w:r>
        <w:rPr>
          <w:rFonts w:hint="eastAsia" w:ascii="宋体" w:hAnsi="宋体" w:eastAsia="宋体" w:cs="宋体"/>
          <w:sz w:val="28"/>
          <w:szCs w:val="28"/>
          <w:lang w:eastAsia="zh-CN"/>
        </w:rPr>
        <w:t>期间</w:t>
      </w:r>
      <w:r>
        <w:rPr>
          <w:rFonts w:hint="eastAsia" w:ascii="宋体" w:hAnsi="宋体" w:eastAsia="宋体" w:cs="宋体"/>
          <w:sz w:val="28"/>
          <w:szCs w:val="28"/>
        </w:rPr>
        <w:t>，</w:t>
      </w:r>
      <w:r>
        <w:rPr>
          <w:rFonts w:hint="eastAsia" w:ascii="宋体" w:hAnsi="宋体" w:eastAsia="宋体" w:cs="宋体"/>
          <w:sz w:val="28"/>
          <w:szCs w:val="28"/>
          <w:lang w:val="en-US" w:eastAsia="zh-CN"/>
        </w:rPr>
        <w:t>公司被临汾市生态环境局列为新型冠状病毒感染的肺炎疫情医疗废物处置备用单位，承担疫情防控任务，做好疫情期间医疗机构医废处置保障工作，</w:t>
      </w:r>
      <w:r>
        <w:rPr>
          <w:rFonts w:hint="eastAsia" w:ascii="宋体" w:hAnsi="宋体" w:eastAsia="宋体" w:cs="宋体"/>
          <w:sz w:val="28"/>
          <w:szCs w:val="28"/>
        </w:rPr>
        <w:t>为周边企业疫情期间有序复工复产，降低</w:t>
      </w:r>
      <w:r>
        <w:rPr>
          <w:rFonts w:hint="eastAsia" w:ascii="宋体" w:hAnsi="宋体" w:eastAsia="宋体" w:cs="宋体"/>
          <w:sz w:val="28"/>
          <w:szCs w:val="28"/>
          <w:lang w:eastAsia="zh-CN"/>
        </w:rPr>
        <w:t>危险废物</w:t>
      </w:r>
      <w:r>
        <w:rPr>
          <w:rFonts w:hint="eastAsia" w:ascii="宋体" w:hAnsi="宋体" w:eastAsia="宋体" w:cs="宋体"/>
          <w:sz w:val="28"/>
          <w:szCs w:val="28"/>
        </w:rPr>
        <w:t>库存并减少由此带来的环境安全隐患提供了有力保障</w:t>
      </w:r>
      <w:r>
        <w:rPr>
          <w:rFonts w:hint="eastAsia" w:ascii="宋体" w:hAnsi="宋体" w:eastAsia="宋体" w:cs="宋体"/>
          <w:sz w:val="28"/>
          <w:szCs w:val="28"/>
          <w:lang w:eastAsia="zh-CN"/>
        </w:rPr>
        <w:t>。</w:t>
      </w:r>
    </w:p>
    <w:p w14:paraId="4F5F92C9">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w:t>
      </w:r>
      <w:r>
        <w:rPr>
          <w:rFonts w:hint="eastAsia" w:ascii="宋体" w:hAnsi="宋体" w:eastAsia="宋体" w:cs="宋体"/>
          <w:sz w:val="28"/>
          <w:szCs w:val="28"/>
        </w:rPr>
        <w:t>始终秉承“城市保姆，环保管家，服务社会”的发展理念，为危险废物产生单位提供细致，周到的服务。同时，作为临汾市专业环境应急救援队伍还积极参与各类危险废物应急事故抢救，响应速度快，应急处理能力强，有效降低了环境污染风险，充分展现了社会责任感，努力为临汾市危险废物安全处置贡献自己应有的力量。</w:t>
      </w:r>
    </w:p>
    <w:p w14:paraId="663DF278">
      <w:pPr>
        <w:pStyle w:val="4"/>
        <w:bidi w:val="0"/>
        <w:rPr>
          <w:rFonts w:hint="eastAsia"/>
          <w:lang w:val="en-US" w:eastAsia="zh-CN"/>
        </w:rPr>
      </w:pPr>
      <w:r>
        <w:rPr>
          <w:rFonts w:hint="eastAsia"/>
          <w:lang w:val="en-US" w:eastAsia="zh-CN"/>
        </w:rPr>
        <w:t xml:space="preserve">    </w:t>
      </w:r>
      <w:bookmarkStart w:id="46" w:name="_Toc7126"/>
      <w:bookmarkStart w:id="47" w:name="_Toc20180"/>
      <w:r>
        <w:rPr>
          <w:rFonts w:hint="eastAsia"/>
          <w:lang w:val="en-US" w:eastAsia="zh-CN"/>
        </w:rPr>
        <w:t>3.1.3 废水污染治理</w:t>
      </w:r>
      <w:bookmarkEnd w:id="46"/>
      <w:bookmarkEnd w:id="47"/>
    </w:p>
    <w:p w14:paraId="79ABC63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b w:val="0"/>
          <w:bCs w:val="0"/>
          <w:kern w:val="2"/>
          <w:sz w:val="28"/>
          <w:szCs w:val="28"/>
          <w:lang w:val="en-US" w:eastAsia="zh-CN" w:bidi="ar-SA"/>
        </w:rPr>
        <w:t xml:space="preserve"> 公司的废水主要包括</w:t>
      </w:r>
      <w:r>
        <w:rPr>
          <w:rFonts w:hint="eastAsia" w:ascii="宋体" w:hAnsi="宋体" w:eastAsia="宋体" w:cs="宋体"/>
          <w:color w:val="auto"/>
          <w:sz w:val="28"/>
          <w:szCs w:val="28"/>
        </w:rPr>
        <w:t>循环冷却排污水</w:t>
      </w:r>
      <w:r>
        <w:rPr>
          <w:rFonts w:hint="eastAsia" w:ascii="宋体" w:hAnsi="宋体" w:eastAsia="宋体" w:cs="宋体"/>
          <w:color w:val="auto"/>
          <w:sz w:val="28"/>
          <w:szCs w:val="28"/>
          <w:lang w:eastAsia="zh-CN"/>
        </w:rPr>
        <w:t>生产废水</w:t>
      </w:r>
      <w:r>
        <w:rPr>
          <w:rFonts w:hint="eastAsia" w:ascii="宋体" w:hAnsi="宋体" w:eastAsia="宋体" w:cs="宋体"/>
          <w:color w:val="auto"/>
          <w:sz w:val="28"/>
          <w:szCs w:val="28"/>
        </w:rPr>
        <w:t>和生活污水</w:t>
      </w:r>
      <w:r>
        <w:rPr>
          <w:rFonts w:hint="eastAsia" w:ascii="宋体" w:hAnsi="宋体" w:eastAsia="宋体" w:cs="宋体"/>
          <w:color w:val="auto"/>
          <w:sz w:val="28"/>
          <w:szCs w:val="28"/>
          <w:lang w:val="en-US" w:eastAsia="zh-CN"/>
        </w:rPr>
        <w:t>等，</w:t>
      </w:r>
      <w:r>
        <w:rPr>
          <w:rFonts w:hint="eastAsia" w:ascii="宋体" w:hAnsi="宋体" w:eastAsia="宋体" w:cs="宋体"/>
          <w:color w:val="auto"/>
          <w:sz w:val="28"/>
          <w:szCs w:val="28"/>
        </w:rPr>
        <w:t>在厂区及生活区分别建有1套处理能力为5m</w:t>
      </w:r>
      <w:r>
        <w:rPr>
          <w:rFonts w:hint="eastAsia" w:ascii="宋体" w:hAnsi="宋体" w:eastAsia="宋体" w:cs="宋体"/>
          <w:color w:val="auto"/>
          <w:sz w:val="28"/>
          <w:szCs w:val="28"/>
          <w:vertAlign w:val="superscript"/>
        </w:rPr>
        <w:t>3</w:t>
      </w:r>
      <w:r>
        <w:rPr>
          <w:rFonts w:hint="eastAsia" w:ascii="宋体" w:hAnsi="宋体" w:eastAsia="宋体" w:cs="宋体"/>
          <w:color w:val="auto"/>
          <w:sz w:val="28"/>
          <w:szCs w:val="28"/>
        </w:rPr>
        <w:t>/h的地埋式污水处理设备，</w:t>
      </w:r>
      <w:r>
        <w:rPr>
          <w:rFonts w:hint="eastAsia" w:ascii="宋体" w:hAnsi="宋体" w:eastAsia="宋体" w:cs="宋体"/>
          <w:color w:val="auto"/>
          <w:sz w:val="28"/>
          <w:szCs w:val="28"/>
          <w:lang w:eastAsia="zh-CN"/>
        </w:rPr>
        <w:t>采用</w:t>
      </w:r>
      <w:r>
        <w:rPr>
          <w:rFonts w:hint="eastAsia" w:ascii="宋体" w:hAnsi="宋体" w:eastAsia="宋体" w:cs="宋体"/>
          <w:color w:val="auto"/>
          <w:sz w:val="28"/>
          <w:szCs w:val="28"/>
          <w:lang w:val="en-US" w:eastAsia="zh-CN"/>
        </w:rPr>
        <w:t>二级AO+MBR工艺，</w:t>
      </w:r>
      <w:r>
        <w:rPr>
          <w:rFonts w:hint="eastAsia" w:ascii="宋体" w:hAnsi="宋体" w:eastAsia="宋体" w:cs="宋体"/>
          <w:color w:val="auto"/>
          <w:sz w:val="28"/>
          <w:szCs w:val="28"/>
        </w:rPr>
        <w:t>处理流程为</w:t>
      </w:r>
      <w:r>
        <w:rPr>
          <w:rStyle w:val="15"/>
          <w:rFonts w:hint="eastAsia" w:ascii="宋体" w:hAnsi="宋体" w:eastAsia="宋体" w:cs="宋体"/>
          <w:color w:val="auto"/>
          <w:kern w:val="2"/>
          <w:sz w:val="28"/>
          <w:szCs w:val="28"/>
          <w:lang w:val="en-US" w:eastAsia="zh-CN" w:bidi="ar-SA"/>
        </w:rPr>
        <w:t>一</w:t>
      </w:r>
      <w:r>
        <w:rPr>
          <w:rFonts w:hint="eastAsia" w:ascii="宋体" w:hAnsi="宋体" w:eastAsia="宋体" w:cs="宋体"/>
          <w:color w:val="auto"/>
          <w:sz w:val="28"/>
          <w:szCs w:val="28"/>
          <w:lang w:val="en-US" w:eastAsia="zh-CN"/>
        </w:rPr>
        <w:t>级处理-过滤、沉淀,二级处理-生物接触氧化、活性污泥法、二级A/O,深度处理-过滤吸附,消毒</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2024年共处置废水387.5吨，</w:t>
      </w:r>
      <w:r>
        <w:rPr>
          <w:rFonts w:hint="eastAsia" w:ascii="宋体" w:hAnsi="宋体" w:eastAsia="宋体" w:cs="宋体"/>
          <w:color w:val="auto"/>
          <w:sz w:val="28"/>
          <w:szCs w:val="28"/>
        </w:rPr>
        <w:t>废水经处理后回用于道路喷洒、原料堆场降尘及厂区绿化，全厂无废水外排。</w:t>
      </w:r>
    </w:p>
    <w:p w14:paraId="4A9B222A">
      <w:pPr>
        <w:pStyle w:val="4"/>
        <w:bidi w:val="0"/>
        <w:ind w:firstLine="643" w:firstLineChars="200"/>
        <w:rPr>
          <w:rFonts w:hint="eastAsia"/>
        </w:rPr>
      </w:pPr>
      <w:bookmarkStart w:id="48" w:name="_Toc32625"/>
      <w:bookmarkStart w:id="49" w:name="_Toc9204"/>
      <w:r>
        <w:rPr>
          <w:rFonts w:hint="eastAsia"/>
          <w:lang w:val="en-US" w:eastAsia="zh-CN"/>
        </w:rPr>
        <w:t xml:space="preserve">3.1.4 </w:t>
      </w:r>
      <w:r>
        <w:rPr>
          <w:rFonts w:hint="eastAsia"/>
        </w:rPr>
        <w:t>噪声污染治理</w:t>
      </w:r>
      <w:bookmarkEnd w:id="48"/>
      <w:bookmarkEnd w:id="49"/>
    </w:p>
    <w:p w14:paraId="6ACB7015">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厂区内</w:t>
      </w:r>
      <w:r>
        <w:rPr>
          <w:rFonts w:hint="eastAsia" w:ascii="宋体" w:hAnsi="宋体" w:eastAsia="宋体" w:cs="宋体"/>
          <w:color w:val="auto"/>
          <w:sz w:val="28"/>
          <w:szCs w:val="28"/>
        </w:rPr>
        <w:t>主要噪声源为生料磨、水泥磨、罗茨风机、空压机等。</w:t>
      </w:r>
      <w:r>
        <w:rPr>
          <w:rFonts w:hint="eastAsia" w:ascii="宋体" w:hAnsi="宋体" w:eastAsia="宋体" w:cs="宋体"/>
          <w:color w:val="auto"/>
          <w:sz w:val="28"/>
          <w:szCs w:val="28"/>
          <w:lang w:val="en-US" w:eastAsia="zh-CN"/>
        </w:rPr>
        <w:t>生产线</w:t>
      </w:r>
      <w:r>
        <w:rPr>
          <w:rFonts w:hint="eastAsia" w:ascii="宋体" w:hAnsi="宋体" w:eastAsia="宋体" w:cs="宋体"/>
          <w:color w:val="auto"/>
          <w:sz w:val="28"/>
          <w:szCs w:val="28"/>
        </w:rPr>
        <w:t>在设备选型上选择低噪声设备，罗茨风机、空压机安装消音器。所有设备均置于封闭的厂房内，</w:t>
      </w:r>
      <w:r>
        <w:rPr>
          <w:rFonts w:hint="eastAsia" w:ascii="宋体" w:hAnsi="宋体" w:eastAsia="宋体" w:cs="宋体"/>
          <w:color w:val="auto"/>
          <w:sz w:val="28"/>
          <w:szCs w:val="28"/>
          <w:lang w:val="en-US" w:eastAsia="zh-CN"/>
        </w:rPr>
        <w:t>公司先后实施了循环风机、热风管、篦冷机风机机群降噪工程，</w:t>
      </w:r>
      <w:r>
        <w:rPr>
          <w:rFonts w:hint="eastAsia" w:ascii="宋体" w:hAnsi="宋体" w:eastAsia="宋体" w:cs="宋体"/>
          <w:color w:val="auto"/>
          <w:sz w:val="28"/>
          <w:szCs w:val="28"/>
          <w:lang w:eastAsia="zh-CN"/>
        </w:rPr>
        <w:t>水泥立磨、煤立磨、原料立磨周围设立隔音墙</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可有效降低噪声。</w:t>
      </w:r>
    </w:p>
    <w:p w14:paraId="532E363F">
      <w:pPr>
        <w:pStyle w:val="12"/>
        <w:ind w:left="0" w:leftChars="0" w:firstLine="643" w:firstLineChars="200"/>
        <w:rPr>
          <w:rFonts w:hint="eastAsia" w:asciiTheme="minorHAnsi" w:hAnsiTheme="minorHAnsi" w:cstheme="minorBidi"/>
          <w:b/>
          <w:bCs w:val="0"/>
          <w:kern w:val="2"/>
          <w:sz w:val="32"/>
          <w:szCs w:val="24"/>
          <w:lang w:val="en-US" w:eastAsia="zh-CN" w:bidi="ar-SA"/>
        </w:rPr>
      </w:pPr>
      <w:r>
        <w:rPr>
          <w:rFonts w:hint="eastAsia" w:asciiTheme="minorHAnsi" w:hAnsiTheme="minorHAnsi" w:eastAsiaTheme="minorEastAsia" w:cstheme="minorBidi"/>
          <w:b/>
          <w:bCs w:val="0"/>
          <w:kern w:val="2"/>
          <w:sz w:val="32"/>
          <w:szCs w:val="24"/>
          <w:lang w:val="en-US" w:eastAsia="zh-CN" w:bidi="ar-SA"/>
        </w:rPr>
        <w:t>3.1.5</w:t>
      </w:r>
      <w:r>
        <w:rPr>
          <w:rFonts w:hint="eastAsia" w:asciiTheme="minorHAnsi" w:hAnsiTheme="minorHAnsi" w:cstheme="minorBidi"/>
          <w:b/>
          <w:bCs w:val="0"/>
          <w:kern w:val="2"/>
          <w:sz w:val="32"/>
          <w:szCs w:val="24"/>
          <w:lang w:val="en-US" w:eastAsia="zh-CN" w:bidi="ar-SA"/>
        </w:rPr>
        <w:t>固废管理</w:t>
      </w:r>
    </w:p>
    <w:p w14:paraId="0E3AF25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3.5.1.1</w:t>
      </w:r>
      <w:r>
        <w:rPr>
          <w:rFonts w:hint="eastAsia" w:ascii="宋体" w:hAnsi="宋体" w:eastAsia="宋体" w:cs="宋体"/>
          <w:color w:val="auto"/>
          <w:sz w:val="28"/>
          <w:szCs w:val="28"/>
        </w:rPr>
        <w:t>固体废物</w:t>
      </w:r>
    </w:p>
    <w:p w14:paraId="53469619">
      <w:pPr>
        <w:pStyle w:val="12"/>
        <w:spacing w:line="360" w:lineRule="auto"/>
        <w:ind w:left="0" w:leftChars="0" w:firstLine="560"/>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本项目固体废物主要为除尘器除尘灰、废收尘滤袋、废耐火砖、污水污泥。除尘器除尘灰回用于生产工艺回收利用，废耐火砖经破碎后作为原料重新利用；废收尘滤袋、污水污泥利用水泥窑协同处置。</w:t>
      </w:r>
    </w:p>
    <w:p w14:paraId="176B6992">
      <w:pPr>
        <w:numPr>
          <w:ilvl w:val="0"/>
          <w:numId w:val="0"/>
        </w:numPr>
        <w:adjustRightInd w:val="0"/>
        <w:snapToGrid w:val="0"/>
        <w:spacing w:line="360" w:lineRule="auto"/>
        <w:ind w:firstLine="560" w:firstLineChars="200"/>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3.5.1.2危险废物</w:t>
      </w:r>
    </w:p>
    <w:p w14:paraId="70F9F76A">
      <w:pPr>
        <w:ind w:firstLine="560" w:firstLineChars="200"/>
        <w:rPr>
          <w:rFonts w:hint="default"/>
          <w:lang w:val="en-US" w:eastAsia="zh-CN"/>
        </w:rPr>
      </w:pPr>
      <w:r>
        <w:rPr>
          <w:rFonts w:hint="eastAsia" w:ascii="宋体" w:hAnsi="宋体" w:eastAsia="宋体" w:cs="宋体"/>
          <w:b w:val="0"/>
          <w:bCs w:val="0"/>
          <w:color w:val="auto"/>
          <w:kern w:val="2"/>
          <w:sz w:val="28"/>
          <w:szCs w:val="28"/>
          <w:lang w:val="en-US" w:eastAsia="zh-CN" w:bidi="ar-SA"/>
        </w:rPr>
        <w:t>公司的危险废物来源主要是生产、使用过程中产生的废矿物油，废油桶、设备刷漆产生的废漆桶，废棉纱、手套，检测废液、废滤芯、废铅蓄电池和废脱硝催化剂，危险废物全部委托第三方有相关资质的单位进行处置</w:t>
      </w:r>
      <w:r>
        <w:rPr>
          <w:rFonts w:hint="eastAsia" w:ascii="仿宋" w:hAnsi="仿宋" w:eastAsia="仿宋" w:cs="仿宋"/>
          <w:b w:val="0"/>
          <w:bCs w:val="0"/>
          <w:color w:val="auto"/>
          <w:sz w:val="28"/>
          <w:szCs w:val="24"/>
          <w:lang w:val="en-US" w:eastAsia="zh-CN"/>
        </w:rPr>
        <w:t>。</w:t>
      </w:r>
      <w:r>
        <w:rPr>
          <w:rFonts w:hint="eastAsia" w:cstheme="minorBidi"/>
          <w:b/>
          <w:bCs w:val="0"/>
          <w:kern w:val="2"/>
          <w:sz w:val="32"/>
          <w:szCs w:val="24"/>
          <w:lang w:val="en-US" w:eastAsia="zh-CN" w:bidi="ar-SA"/>
        </w:rPr>
        <w:t xml:space="preserve">    </w:t>
      </w:r>
    </w:p>
    <w:p w14:paraId="35ADCD8E">
      <w:pPr>
        <w:pStyle w:val="3"/>
        <w:bidi w:val="0"/>
        <w:rPr>
          <w:rFonts w:hint="eastAsia"/>
          <w:lang w:val="en-US" w:eastAsia="zh-CN"/>
        </w:rPr>
      </w:pPr>
      <w:bookmarkStart w:id="50" w:name="_Toc5807"/>
      <w:bookmarkStart w:id="51" w:name="_Toc13170"/>
      <w:bookmarkStart w:id="52" w:name="_Toc15433"/>
      <w:r>
        <w:rPr>
          <w:rFonts w:hint="eastAsia"/>
          <w:lang w:val="en-US" w:eastAsia="zh-CN"/>
        </w:rPr>
        <w:t>3.2 落实节能降耗</w:t>
      </w:r>
      <w:bookmarkEnd w:id="50"/>
      <w:bookmarkEnd w:id="51"/>
      <w:bookmarkEnd w:id="52"/>
    </w:p>
    <w:p w14:paraId="63041538">
      <w:pPr>
        <w:pStyle w:val="10"/>
        <w:tabs>
          <w:tab w:val="right" w:leader="dot" w:pos="8306"/>
        </w:tabs>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公司依据《中华人民共和国节约能源法》《山西省节约能源管理条例》《能源管理体系</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要求及使用指南》等法律法规标准，建立能源管理体系，成立能源领导机构，制定《能源管理</w:t>
      </w:r>
      <w:r>
        <w:rPr>
          <w:rFonts w:hint="eastAsia" w:ascii="宋体" w:hAnsi="宋体" w:eastAsia="宋体" w:cs="宋体"/>
          <w:color w:val="auto"/>
          <w:sz w:val="28"/>
          <w:szCs w:val="28"/>
          <w:lang w:val="en-US" w:eastAsia="zh-CN"/>
        </w:rPr>
        <w:t>制度</w:t>
      </w:r>
      <w:r>
        <w:rPr>
          <w:rFonts w:hint="eastAsia" w:ascii="宋体" w:hAnsi="宋体" w:eastAsia="宋体" w:cs="宋体"/>
          <w:color w:val="auto"/>
          <w:sz w:val="28"/>
          <w:szCs w:val="28"/>
          <w:lang w:eastAsia="zh-CN"/>
        </w:rPr>
        <w:t>》，包括</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_Toc16883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用能管理制度、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_Toc20566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能源管理岗位责任制、</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_Toc313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能源计量、统计管理制度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_Toc28062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val="en-US" w:eastAsia="zh-CN"/>
        </w:rPr>
        <w:t>能源消耗限额管理制度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_Toc12723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能源计量器具管理制度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_Toc30297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节能奖惩办法</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_Toc12197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能源统计报表制度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_Toc53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节能目标管理责任考核评价制度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和</w:t>
      </w:r>
      <w:r>
        <w:rPr>
          <w:rFonts w:hint="eastAsia" w:ascii="宋体" w:hAnsi="宋体" w:eastAsia="宋体" w:cs="宋体"/>
          <w:color w:val="auto"/>
          <w:sz w:val="28"/>
          <w:szCs w:val="28"/>
          <w:lang w:eastAsia="zh-CN"/>
        </w:rPr>
        <w:fldChar w:fldCharType="begin"/>
      </w:r>
      <w:r>
        <w:rPr>
          <w:rFonts w:hint="eastAsia" w:ascii="宋体" w:hAnsi="宋体" w:eastAsia="宋体" w:cs="宋体"/>
          <w:color w:val="auto"/>
          <w:sz w:val="28"/>
          <w:szCs w:val="28"/>
          <w:lang w:eastAsia="zh-CN"/>
        </w:rPr>
        <w:instrText xml:space="preserve"> HYPERLINK \l _Toc8859 </w:instrText>
      </w:r>
      <w:r>
        <w:rPr>
          <w:rFonts w:hint="eastAsia" w:ascii="宋体" w:hAnsi="宋体" w:eastAsia="宋体" w:cs="宋体"/>
          <w:color w:val="auto"/>
          <w:sz w:val="28"/>
          <w:szCs w:val="28"/>
          <w:lang w:eastAsia="zh-CN"/>
        </w:rPr>
        <w:fldChar w:fldCharType="separate"/>
      </w:r>
      <w:r>
        <w:rPr>
          <w:rFonts w:hint="eastAsia" w:ascii="宋体" w:hAnsi="宋体" w:eastAsia="宋体" w:cs="宋体"/>
          <w:color w:val="auto"/>
          <w:sz w:val="28"/>
          <w:szCs w:val="28"/>
          <w:lang w:eastAsia="zh-CN"/>
        </w:rPr>
        <w:t>能源统计与能源利用状况报告管理制度，</w:t>
      </w:r>
      <w:r>
        <w:rPr>
          <w:rFonts w:hint="eastAsia" w:ascii="宋体" w:hAnsi="宋体" w:eastAsia="宋体" w:cs="宋体"/>
          <w:color w:val="auto"/>
          <w:sz w:val="28"/>
          <w:szCs w:val="28"/>
          <w:lang w:eastAsia="zh-CN"/>
        </w:rPr>
        <w:fldChar w:fldCharType="end"/>
      </w:r>
      <w:r>
        <w:rPr>
          <w:rFonts w:hint="eastAsia" w:ascii="宋体" w:hAnsi="宋体" w:eastAsia="宋体" w:cs="宋体"/>
          <w:color w:val="auto"/>
          <w:sz w:val="28"/>
          <w:szCs w:val="28"/>
          <w:lang w:eastAsia="zh-CN"/>
        </w:rPr>
        <w:t>通过管理节能和技术节能</w:t>
      </w:r>
      <w:r>
        <w:rPr>
          <w:rFonts w:hint="eastAsia" w:ascii="宋体" w:hAnsi="宋体" w:eastAsia="宋体" w:cs="宋体"/>
          <w:b w:val="0"/>
          <w:bCs w:val="0"/>
          <w:kern w:val="2"/>
          <w:sz w:val="28"/>
          <w:szCs w:val="28"/>
          <w:highlight w:val="none"/>
          <w:lang w:val="en-US" w:eastAsia="zh-CN" w:bidi="ar-SA"/>
        </w:rPr>
        <w:t>进一步降低水泥单位产品能耗，实现节能“双控”目标。</w:t>
      </w:r>
    </w:p>
    <w:p w14:paraId="46BA83BC">
      <w:pPr>
        <w:pStyle w:val="12"/>
        <w:ind w:left="0" w:leftChars="0" w:firstLine="560" w:firstLineChars="200"/>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2024年公司实施的节能改造项目包括：</w:t>
      </w:r>
    </w:p>
    <w:p w14:paraId="572FB4C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①2月份对煤磨煤粉仓增加稳流仓设备，稳定了下料，提高窑煅烧稳定性。</w:t>
      </w:r>
    </w:p>
    <w:p w14:paraId="5776FDB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sz w:val="28"/>
          <w:szCs w:val="28"/>
          <w:highlight w:val="none"/>
          <w:lang w:val="en-US" w:eastAsia="zh-CN"/>
        </w:rPr>
      </w:pPr>
      <w:r>
        <w:rPr>
          <w:rFonts w:hint="eastAsia" w:ascii="宋体" w:hAnsi="宋体" w:cs="宋体"/>
          <w:color w:val="auto"/>
          <w:sz w:val="28"/>
          <w:szCs w:val="28"/>
          <w:highlight w:val="none"/>
          <w:lang w:val="en-US" w:eastAsia="zh-CN"/>
        </w:rPr>
        <w:t>②更换锁风效果好的 C5 翻板阀，避免了结皮给正常生产工艺造成影响。</w:t>
      </w:r>
    </w:p>
    <w:p w14:paraId="144C6D3A">
      <w:pPr>
        <w:ind w:firstLine="560" w:firstLineChars="200"/>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通过各节能技改项目的实施，降低了原煤消耗，节约了用电量。</w:t>
      </w:r>
    </w:p>
    <w:p w14:paraId="4F02BC15">
      <w:pPr>
        <w:pStyle w:val="3"/>
        <w:bidi w:val="0"/>
        <w:ind w:firstLine="321" w:firstLineChars="100"/>
        <w:rPr>
          <w:rFonts w:hint="eastAsia"/>
          <w:lang w:val="en-US" w:eastAsia="zh-CN"/>
        </w:rPr>
      </w:pPr>
      <w:bookmarkStart w:id="53" w:name="_Toc31159"/>
      <w:bookmarkStart w:id="54" w:name="_Toc29097"/>
      <w:bookmarkStart w:id="55" w:name="_Toc27804"/>
      <w:r>
        <w:rPr>
          <w:rFonts w:hint="eastAsia"/>
          <w:lang w:val="en-US" w:eastAsia="zh-CN"/>
        </w:rPr>
        <w:t>3.3 资源综合利用</w:t>
      </w:r>
      <w:bookmarkEnd w:id="53"/>
      <w:bookmarkEnd w:id="54"/>
      <w:bookmarkEnd w:id="55"/>
    </w:p>
    <w:p w14:paraId="2C180097">
      <w:pPr>
        <w:pStyle w:val="3"/>
        <w:bidi w:val="0"/>
        <w:ind w:firstLine="643" w:firstLineChars="200"/>
        <w:rPr>
          <w:rFonts w:hint="eastAsia"/>
          <w:lang w:val="en-US" w:eastAsia="zh-CN"/>
        </w:rPr>
      </w:pPr>
      <w:bookmarkStart w:id="56" w:name="_Toc16292"/>
      <w:bookmarkStart w:id="57" w:name="_Toc18822"/>
      <w:bookmarkStart w:id="58" w:name="_Toc28259"/>
      <w:r>
        <w:rPr>
          <w:rFonts w:hint="eastAsia"/>
          <w:lang w:val="en-US" w:eastAsia="zh-CN"/>
        </w:rPr>
        <w:t>3.3.1 余热发电项目</w:t>
      </w:r>
      <w:bookmarkEnd w:id="56"/>
      <w:bookmarkEnd w:id="57"/>
      <w:bookmarkEnd w:id="58"/>
    </w:p>
    <w:p w14:paraId="3B52FA7C">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随着国家新型节能技术的推广应用，公司为了实施可持续发展战略和执行资源综合利用政策，2500t/d熟料生产线在建设时综合考虑生产线的余热条件及场地布置等因素，利用水泥熟料生产线窑头、窑尾余热资源，建设一套4.5MW纯低温余热电站。</w:t>
      </w:r>
    </w:p>
    <w:p w14:paraId="030A1AA8">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●节电效果：</w:t>
      </w:r>
    </w:p>
    <w:p w14:paraId="6DA5E628">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本项目为纯余热电站，不消耗燃料，所发的电能相当于节约了燃料。大量废气余热的回收利用节约了一次能源，使本项目达到了废气资源综合利用的目的。</w:t>
      </w:r>
    </w:p>
    <w:p w14:paraId="2177AC57">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本项目熟料烧成窑尾设4.5MW纯低温余热电站，年发电量为2590×10</w:t>
      </w:r>
      <w:r>
        <w:rPr>
          <w:rFonts w:hint="eastAsia" w:ascii="宋体" w:hAnsi="宋体" w:eastAsia="宋体" w:cs="宋体"/>
          <w:b w:val="0"/>
          <w:bCs w:val="0"/>
          <w:kern w:val="2"/>
          <w:sz w:val="28"/>
          <w:szCs w:val="28"/>
          <w:vertAlign w:val="superscript"/>
          <w:lang w:val="en-US" w:eastAsia="zh-CN" w:bidi="ar-SA"/>
        </w:rPr>
        <w:t>4</w:t>
      </w:r>
      <w:r>
        <w:rPr>
          <w:rFonts w:hint="eastAsia" w:ascii="宋体" w:hAnsi="宋体" w:eastAsia="宋体" w:cs="宋体"/>
          <w:b w:val="0"/>
          <w:bCs w:val="0"/>
          <w:kern w:val="2"/>
          <w:sz w:val="28"/>
          <w:szCs w:val="28"/>
          <w:lang w:val="en-US" w:eastAsia="zh-CN" w:bidi="ar-SA"/>
        </w:rPr>
        <w:t>kWh，年供电量为2400×10</w:t>
      </w:r>
      <w:r>
        <w:rPr>
          <w:rFonts w:hint="eastAsia" w:ascii="宋体" w:hAnsi="宋体" w:eastAsia="宋体" w:cs="宋体"/>
          <w:b w:val="0"/>
          <w:bCs w:val="0"/>
          <w:kern w:val="2"/>
          <w:sz w:val="28"/>
          <w:szCs w:val="28"/>
          <w:vertAlign w:val="superscript"/>
          <w:lang w:val="en-US" w:eastAsia="zh-CN" w:bidi="ar-SA"/>
        </w:rPr>
        <w:t>4</w:t>
      </w:r>
      <w:r>
        <w:rPr>
          <w:rFonts w:hint="eastAsia" w:ascii="宋体" w:hAnsi="宋体" w:eastAsia="宋体" w:cs="宋体"/>
          <w:b w:val="0"/>
          <w:bCs w:val="0"/>
          <w:kern w:val="2"/>
          <w:sz w:val="28"/>
          <w:szCs w:val="28"/>
          <w:lang w:val="en-US" w:eastAsia="zh-CN" w:bidi="ar-SA"/>
        </w:rPr>
        <w:t>kWMh，折合标煤9696tce，电力折标煤系数按0.404gce/kWh计。</w:t>
      </w:r>
    </w:p>
    <w:p w14:paraId="4BEFADC3">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●节煤效果：</w:t>
      </w:r>
    </w:p>
    <w:p w14:paraId="0B78CAE5">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lang w:val="en-US" w:eastAsia="zh-CN"/>
        </w:rPr>
      </w:pPr>
      <w:r>
        <w:rPr>
          <w:rFonts w:hint="eastAsia" w:ascii="宋体" w:hAnsi="宋体" w:eastAsia="宋体" w:cs="宋体"/>
          <w:b w:val="0"/>
          <w:bCs w:val="0"/>
          <w:kern w:val="2"/>
          <w:sz w:val="28"/>
          <w:szCs w:val="28"/>
          <w:lang w:val="en-US" w:eastAsia="zh-CN" w:bidi="ar-SA"/>
        </w:rPr>
        <w:t>①煤粉制备系统采用窑头含热废气。项目原煤中水份约为8%，</w:t>
      </w:r>
    </w:p>
    <w:p w14:paraId="7F76F485">
      <w:pPr>
        <w:pStyle w:val="12"/>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在煤磨中供入废气用于烘干，制备后煤粉水份&lt;0.5%，原煤烘干需加热焓约为2500×104kJ/h，折合标煤0.85tce/h。煤粉制备系统年运行时间为4300h，每年可节约标煤3655吨，减排C02约9137吨。</w:t>
      </w:r>
    </w:p>
    <w:p w14:paraId="271D2E8C">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②生料制备系统中窑尾废气除供余热电站外，还供应原料磨的烘</w:t>
      </w:r>
    </w:p>
    <w:p w14:paraId="108FD47A">
      <w:pPr>
        <w:pStyle w:val="12"/>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干热源，原料中水份2.8%，在原料粉磨时利用窑尾废气在辊式磨内进行烘干后制备的生料水份为0.05%，每年原料烘干的热焓为3500×104kJ/h，折合标煤1.19tce/h。生料制备系统年运行时间</w:t>
      </w:r>
      <w:bookmarkStart w:id="92" w:name="_GoBack"/>
      <w:bookmarkEnd w:id="92"/>
      <w:r>
        <w:rPr>
          <w:rFonts w:hint="eastAsia" w:ascii="宋体" w:hAnsi="宋体" w:eastAsia="宋体" w:cs="宋体"/>
          <w:b w:val="0"/>
          <w:bCs w:val="0"/>
          <w:kern w:val="2"/>
          <w:sz w:val="28"/>
          <w:szCs w:val="28"/>
          <w:lang w:val="en-US" w:eastAsia="zh-CN" w:bidi="ar-SA"/>
        </w:rPr>
        <w:t>为6030h，每年可节约标煤7176吨，减排C0</w:t>
      </w:r>
      <w:r>
        <w:rPr>
          <w:rFonts w:hint="eastAsia" w:ascii="宋体" w:hAnsi="宋体" w:eastAsia="宋体" w:cs="宋体"/>
          <w:b w:val="0"/>
          <w:bCs w:val="0"/>
          <w:kern w:val="2"/>
          <w:sz w:val="28"/>
          <w:szCs w:val="28"/>
          <w:vertAlign w:val="subscript"/>
          <w:lang w:val="en-US" w:eastAsia="zh-CN" w:bidi="ar-SA"/>
        </w:rPr>
        <w:t>2</w:t>
      </w:r>
      <w:r>
        <w:rPr>
          <w:rFonts w:hint="eastAsia" w:ascii="宋体" w:hAnsi="宋体" w:eastAsia="宋体" w:cs="宋体"/>
          <w:b w:val="0"/>
          <w:bCs w:val="0"/>
          <w:kern w:val="2"/>
          <w:sz w:val="28"/>
          <w:szCs w:val="28"/>
          <w:lang w:val="en-US" w:eastAsia="zh-CN" w:bidi="ar-SA"/>
        </w:rPr>
        <w:t>约17940吨。</w:t>
      </w:r>
    </w:p>
    <w:p w14:paraId="764A6983">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 xml:space="preserve"> </w:t>
      </w:r>
      <w:bookmarkStart w:id="59" w:name="_Toc21972"/>
      <w:r>
        <w:rPr>
          <w:rFonts w:hint="eastAsia" w:ascii="宋体" w:hAnsi="宋体" w:eastAsia="宋体" w:cs="宋体"/>
          <w:b w:val="0"/>
          <w:bCs w:val="0"/>
          <w:kern w:val="2"/>
          <w:sz w:val="28"/>
          <w:szCs w:val="28"/>
          <w:lang w:val="en-US" w:eastAsia="zh-CN" w:bidi="ar-SA"/>
        </w:rPr>
        <w:t>③ 水泥粉磨系统窑头余热利用：公司于2020年5月实施了水泥立磨热风管道改造工程项目，停用燃煤热风炉，改用窑头余热作为水泥立磨烘干热源，2021年7月建设完成，总投资 75.85万元，建设内容：包括风机购置安装、调试，土建工程、钢结构安装及管道保温、除锈刷漆等。项目实施后提高了窑头余热利用效率，吨水泥可节约标煤约2.78千克标煤，年可节约标煤量2340吨，实现了清洁生产。</w:t>
      </w:r>
      <w:bookmarkEnd w:id="59"/>
    </w:p>
    <w:p w14:paraId="0EE7E918">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Style w:val="18"/>
          <w:rFonts w:hint="eastAsia"/>
          <w:b/>
          <w:lang w:val="en-US" w:eastAsia="zh-CN"/>
        </w:rPr>
      </w:pPr>
      <w:r>
        <w:rPr>
          <w:rFonts w:hint="eastAsia" w:ascii="宋体" w:hAnsi="宋体" w:eastAsia="宋体" w:cs="宋体"/>
          <w:b w:val="0"/>
          <w:bCs w:val="0"/>
          <w:kern w:val="2"/>
          <w:sz w:val="28"/>
          <w:szCs w:val="28"/>
          <w:lang w:val="en-US" w:eastAsia="zh-CN" w:bidi="ar-SA"/>
        </w:rPr>
        <w:t xml:space="preserve"> </w:t>
      </w:r>
      <w:bookmarkStart w:id="60" w:name="_Toc19047"/>
      <w:bookmarkStart w:id="61" w:name="_Toc29884"/>
      <w:bookmarkStart w:id="62" w:name="_Toc32704"/>
      <w:r>
        <w:rPr>
          <w:rStyle w:val="18"/>
          <w:rFonts w:hint="eastAsia"/>
          <w:b/>
          <w:lang w:val="en-US" w:eastAsia="zh-CN"/>
        </w:rPr>
        <w:t>3.3.2 工业废弃资源的再利用</w:t>
      </w:r>
      <w:bookmarkEnd w:id="60"/>
    </w:p>
    <w:bookmarkEnd w:id="61"/>
    <w:bookmarkEnd w:id="62"/>
    <w:p w14:paraId="1627664C">
      <w:pPr>
        <w:pStyle w:val="12"/>
        <w:keepNext w:val="0"/>
        <w:keepLines w:val="0"/>
        <w:pageBreakBefore w:val="0"/>
        <w:widowControl w:val="0"/>
        <w:kinsoku/>
        <w:wordWrap/>
        <w:overflowPunct/>
        <w:topLinePunct w:val="0"/>
        <w:autoSpaceDE/>
        <w:autoSpaceDN/>
        <w:bidi w:val="0"/>
        <w:spacing w:line="560" w:lineRule="exact"/>
        <w:ind w:left="0" w:leftChars="0" w:firstLine="560" w:firstLineChars="2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lang w:val="en-US" w:eastAsia="zh-CN" w:bidi="ar-SA"/>
        </w:rPr>
        <w:t>随着社会的发展，将产生越来越多的工业废弃物，不仅占用大量的土地还污染环境。公司2500t/d熟料新型干法水泥生产线采用新型干法水泥生产工艺，利用周边的工业废渣：钢渣、镁渣、脱硫石膏、炉渣、粉煤灰等作为辅助材料，年利用工业废渣约70万吨，减轻了周边电厂、铁厂等企业因工业固废堆存造成的环境危害。尤其是水泥中废渣掺量提高到65-70%以后，降低了水泥成本，减少了熟料用量，即减少了二氧化碳的排放量</w:t>
      </w:r>
      <w:r>
        <w:rPr>
          <w:rFonts w:hint="eastAsia" w:ascii="宋体" w:hAnsi="宋体" w:eastAsia="宋体" w:cs="宋体"/>
          <w:b w:val="0"/>
          <w:bCs w:val="0"/>
          <w:kern w:val="2"/>
          <w:sz w:val="28"/>
          <w:szCs w:val="28"/>
          <w:highlight w:val="none"/>
          <w:lang w:val="en-US" w:eastAsia="zh-CN" w:bidi="ar-SA"/>
        </w:rPr>
        <w:t>。</w:t>
      </w:r>
    </w:p>
    <w:p w14:paraId="65B89E7A">
      <w:pPr>
        <w:pStyle w:val="3"/>
        <w:bidi w:val="0"/>
        <w:ind w:firstLine="321" w:firstLineChars="100"/>
        <w:rPr>
          <w:rFonts w:hint="eastAsia"/>
          <w:lang w:val="en-US" w:eastAsia="zh-CN"/>
        </w:rPr>
      </w:pPr>
      <w:bookmarkStart w:id="63" w:name="_Toc13013"/>
      <w:bookmarkStart w:id="64" w:name="_Toc14886"/>
      <w:bookmarkStart w:id="65" w:name="_Toc13678"/>
      <w:r>
        <w:rPr>
          <w:rFonts w:hint="eastAsia"/>
          <w:lang w:val="en-US" w:eastAsia="zh-CN"/>
        </w:rPr>
        <w:t>3.4 产品绿色设计</w:t>
      </w:r>
      <w:bookmarkEnd w:id="63"/>
      <w:bookmarkEnd w:id="64"/>
      <w:bookmarkEnd w:id="65"/>
    </w:p>
    <w:p w14:paraId="5A2BEEE3">
      <w:pPr>
        <w:pStyle w:val="4"/>
        <w:bidi w:val="0"/>
        <w:ind w:firstLine="643" w:firstLineChars="200"/>
      </w:pPr>
      <w:bookmarkStart w:id="66" w:name="_Toc29876"/>
      <w:bookmarkStart w:id="67" w:name="_Toc34143394"/>
      <w:bookmarkStart w:id="68" w:name="_Toc26771"/>
      <w:r>
        <w:rPr>
          <w:rFonts w:hint="eastAsia"/>
          <w:lang w:val="en-US" w:eastAsia="zh-CN"/>
        </w:rPr>
        <w:t>3</w:t>
      </w:r>
      <w:r>
        <w:t>.</w:t>
      </w:r>
      <w:r>
        <w:rPr>
          <w:rFonts w:hint="eastAsia"/>
          <w:lang w:val="en-US" w:eastAsia="zh-CN"/>
        </w:rPr>
        <w:t>4</w:t>
      </w:r>
      <w:r>
        <w:t>.1</w:t>
      </w:r>
      <w:r>
        <w:rPr>
          <w:rFonts w:hint="eastAsia"/>
          <w:lang w:val="en-US" w:eastAsia="zh-CN"/>
        </w:rPr>
        <w:t xml:space="preserve"> </w:t>
      </w:r>
      <w:r>
        <w:rPr>
          <w:rFonts w:hint="eastAsia"/>
        </w:rPr>
        <w:t>产品的生态设计</w:t>
      </w:r>
      <w:bookmarkEnd w:id="66"/>
      <w:bookmarkEnd w:id="67"/>
      <w:bookmarkEnd w:id="68"/>
    </w:p>
    <w:p w14:paraId="5F5F99B3">
      <w:pPr>
        <w:ind w:firstLine="560" w:firstLineChars="200"/>
        <w:rPr>
          <w:sz w:val="28"/>
          <w:szCs w:val="32"/>
        </w:rPr>
      </w:pPr>
      <w:r>
        <w:rPr>
          <w:rFonts w:hint="eastAsia"/>
          <w:sz w:val="28"/>
          <w:szCs w:val="32"/>
        </w:rPr>
        <w:t>公司在产品设计中引入生态设计的理念，包括：优先选用工业固体废弃原材料、减少所使用材料的种类、使用产品本身的材料或兼容材料进行标识标记、延长产品寿命等。</w:t>
      </w:r>
    </w:p>
    <w:p w14:paraId="179E10B8">
      <w:pPr>
        <w:ind w:firstLine="560" w:firstLineChars="200"/>
        <w:rPr>
          <w:sz w:val="28"/>
          <w:szCs w:val="32"/>
        </w:rPr>
      </w:pPr>
      <w:r>
        <w:rPr>
          <w:rFonts w:hint="eastAsia"/>
          <w:sz w:val="28"/>
          <w:szCs w:val="32"/>
        </w:rPr>
        <w:t>公司注重工业废渣利用</w:t>
      </w:r>
      <w:r>
        <w:rPr>
          <w:rFonts w:hint="eastAsia"/>
          <w:sz w:val="28"/>
          <w:szCs w:val="32"/>
          <w:lang w:val="en-US" w:eastAsia="zh-CN"/>
        </w:rPr>
        <w:t>研究</w:t>
      </w:r>
      <w:r>
        <w:rPr>
          <w:rFonts w:hint="eastAsia"/>
          <w:sz w:val="28"/>
          <w:szCs w:val="32"/>
        </w:rPr>
        <w:t>，提高废渣的使用比例，拓宽废渣的使用范围，</w:t>
      </w:r>
      <w:r>
        <w:rPr>
          <w:rFonts w:hint="eastAsia"/>
          <w:sz w:val="28"/>
          <w:szCs w:val="32"/>
          <w:lang w:val="en-US" w:eastAsia="zh-CN"/>
        </w:rPr>
        <w:t>2024年合理利用固体废弃物（钢渣、镁渣、炉渣、粉煤灰）47.4984万吨</w:t>
      </w:r>
      <w:r>
        <w:rPr>
          <w:sz w:val="28"/>
          <w:szCs w:val="32"/>
        </w:rPr>
        <w:t>。</w:t>
      </w:r>
    </w:p>
    <w:p w14:paraId="1C3EB274">
      <w:pPr>
        <w:pStyle w:val="4"/>
        <w:bidi w:val="0"/>
        <w:ind w:firstLine="643" w:firstLineChars="200"/>
      </w:pPr>
      <w:bookmarkStart w:id="69" w:name="_Toc4377"/>
      <w:bookmarkStart w:id="70" w:name="_Toc34143395"/>
      <w:bookmarkStart w:id="71" w:name="_Toc3308"/>
      <w:r>
        <w:rPr>
          <w:rFonts w:hint="eastAsia"/>
          <w:lang w:val="en-US" w:eastAsia="zh-CN"/>
        </w:rPr>
        <w:t>3</w:t>
      </w:r>
      <w:r>
        <w:t>.</w:t>
      </w:r>
      <w:r>
        <w:rPr>
          <w:rFonts w:hint="eastAsia"/>
          <w:lang w:val="en-US" w:eastAsia="zh-CN"/>
        </w:rPr>
        <w:t>4</w:t>
      </w:r>
      <w:r>
        <w:t>.2产品的有害物质限制使用</w:t>
      </w:r>
      <w:bookmarkEnd w:id="69"/>
      <w:bookmarkEnd w:id="70"/>
      <w:bookmarkEnd w:id="71"/>
    </w:p>
    <w:p w14:paraId="48200D0A">
      <w:pPr>
        <w:ind w:firstLine="560" w:firstLineChars="200"/>
        <w:rPr>
          <w:rFonts w:hint="eastAsia"/>
          <w:sz w:val="28"/>
          <w:szCs w:val="32"/>
        </w:rPr>
      </w:pPr>
      <w:r>
        <w:rPr>
          <w:rFonts w:hint="eastAsia"/>
          <w:sz w:val="28"/>
          <w:szCs w:val="32"/>
          <w:lang w:val="en-US" w:eastAsia="zh-CN"/>
        </w:rPr>
        <w:t>公司产品主要为各类水泥，生产过程中使用的化学品主要用于物料的检测，并未进入到产品内部。公司采用荧光分析检测代替传统化学分析法，目前已大大减少危化品的使用；在熟料生产过程中，水泥窑协同处置危险废物中，危险废物的重金属会带到熟料中，为了保证水泥产品符合标准要求，公司采用荧光分析仪对进厂危险废物成分按控制要求检测，公司委托国家水泥质量检验检测中心对熟料进行重金属检测，并出具了检测报告，符合GB30760-2014《水泥窑协同处置危险废物技术规范》标准要求。在对水泥产品质量的管理和控制，确保水泥产品无放射性及六价铬的超标排放，公司委托山西省水泥水产品质量监督检验站对主要原材料及水泥产品进行放射性检验，并出具检验报告，经过检验产品放射性符合标准要求；公司委托山西省水泥产品质量监督检验站定期进行普通硅酸盐水泥、矿渣硅酸盐水泥、复合硅酸盐水泥水溶性铬（VI）进行检测，并出具相关检测报告，经过检测水泥产品水溶性铬（VI）符合GB31893-2015《水泥中水溶性铬（VI）的限量及测定方法》标准规定的指标要求。</w:t>
      </w:r>
    </w:p>
    <w:p w14:paraId="5D03C92C">
      <w:pPr>
        <w:pStyle w:val="4"/>
        <w:bidi w:val="0"/>
        <w:ind w:firstLine="643" w:firstLineChars="200"/>
      </w:pPr>
      <w:bookmarkStart w:id="72" w:name="_Toc23410"/>
      <w:bookmarkStart w:id="73" w:name="_Toc34143396"/>
      <w:bookmarkStart w:id="74" w:name="_Toc19991"/>
      <w:r>
        <w:rPr>
          <w:rFonts w:hint="eastAsia"/>
          <w:lang w:val="en-US" w:eastAsia="zh-CN"/>
        </w:rPr>
        <w:t>3</w:t>
      </w:r>
      <w:r>
        <w:t>.</w:t>
      </w:r>
      <w:r>
        <w:rPr>
          <w:rFonts w:hint="eastAsia"/>
          <w:lang w:val="en-US" w:eastAsia="zh-CN"/>
        </w:rPr>
        <w:t>4</w:t>
      </w:r>
      <w:r>
        <w:t>.3</w:t>
      </w:r>
      <w:r>
        <w:rPr>
          <w:rFonts w:hint="eastAsia"/>
        </w:rPr>
        <w:t>可回收利用情况</w:t>
      </w:r>
      <w:bookmarkEnd w:id="72"/>
      <w:bookmarkEnd w:id="73"/>
      <w:bookmarkEnd w:id="74"/>
    </w:p>
    <w:p w14:paraId="6F9862F5">
      <w:pPr>
        <w:ind w:firstLine="560" w:firstLineChars="200"/>
        <w:rPr>
          <w:sz w:val="28"/>
          <w:szCs w:val="32"/>
          <w:highlight w:val="none"/>
        </w:rPr>
      </w:pPr>
      <w:r>
        <w:rPr>
          <w:rFonts w:hint="eastAsia"/>
          <w:sz w:val="28"/>
          <w:szCs w:val="32"/>
          <w:highlight w:val="none"/>
        </w:rPr>
        <w:t>公司产品生产过程中实现固废</w:t>
      </w:r>
      <w:r>
        <w:rPr>
          <w:rFonts w:hint="eastAsia"/>
          <w:sz w:val="28"/>
          <w:szCs w:val="32"/>
          <w:highlight w:val="none"/>
          <w:lang w:eastAsia="zh-CN"/>
        </w:rPr>
        <w:t>（除尘灰、废耐火砖）</w:t>
      </w:r>
      <w:r>
        <w:rPr>
          <w:sz w:val="28"/>
          <w:szCs w:val="32"/>
          <w:highlight w:val="none"/>
        </w:rPr>
        <w:t>100%回用；重复用水率达到</w:t>
      </w:r>
      <w:r>
        <w:rPr>
          <w:rFonts w:hint="eastAsia"/>
          <w:sz w:val="28"/>
          <w:szCs w:val="32"/>
          <w:highlight w:val="none"/>
          <w:lang w:val="en-US" w:eastAsia="zh-CN"/>
        </w:rPr>
        <w:t>98.76</w:t>
      </w:r>
      <w:r>
        <w:rPr>
          <w:sz w:val="28"/>
          <w:szCs w:val="32"/>
          <w:highlight w:val="none"/>
        </w:rPr>
        <w:t>%；公司大气污染物排放达到</w:t>
      </w:r>
      <w:r>
        <w:rPr>
          <w:rFonts w:hint="eastAsia"/>
          <w:sz w:val="28"/>
          <w:szCs w:val="32"/>
          <w:highlight w:val="none"/>
          <w:lang w:eastAsia="zh-CN"/>
        </w:rPr>
        <w:t>山西省水泥行业超低排放标准</w:t>
      </w:r>
      <w:r>
        <w:rPr>
          <w:sz w:val="28"/>
          <w:szCs w:val="32"/>
          <w:highlight w:val="none"/>
        </w:rPr>
        <w:t>要求。</w:t>
      </w:r>
    </w:p>
    <w:p w14:paraId="6722C24F">
      <w:pPr>
        <w:pStyle w:val="4"/>
        <w:bidi w:val="0"/>
        <w:ind w:firstLine="643" w:firstLineChars="200"/>
        <w:rPr>
          <w:rFonts w:hint="eastAsia"/>
          <w:lang w:val="en-US" w:eastAsia="zh-CN"/>
        </w:rPr>
      </w:pPr>
      <w:bookmarkStart w:id="75" w:name="_Toc21180"/>
      <w:bookmarkStart w:id="76" w:name="_Toc17184"/>
      <w:r>
        <w:rPr>
          <w:rFonts w:hint="eastAsia"/>
          <w:lang w:val="en-US" w:eastAsia="zh-CN"/>
        </w:rPr>
        <w:t>3.4.4温室气体排放</w:t>
      </w:r>
      <w:bookmarkEnd w:id="75"/>
      <w:bookmarkEnd w:id="76"/>
    </w:p>
    <w:p w14:paraId="3B82C8DA">
      <w:pPr>
        <w:rPr>
          <w:rFonts w:hint="eastAsia"/>
          <w:sz w:val="28"/>
          <w:szCs w:val="32"/>
          <w:highlight w:val="none"/>
          <w:lang w:val="en-US" w:eastAsia="zh-CN"/>
        </w:rPr>
      </w:pPr>
      <w:r>
        <w:rPr>
          <w:rFonts w:hint="eastAsia"/>
          <w:lang w:val="en-US" w:eastAsia="zh-CN"/>
        </w:rPr>
        <w:t xml:space="preserve">    </w:t>
      </w:r>
      <w:r>
        <w:rPr>
          <w:rFonts w:hint="eastAsia"/>
          <w:sz w:val="28"/>
          <w:szCs w:val="32"/>
          <w:highlight w:val="none"/>
          <w:lang w:val="en-US" w:eastAsia="zh-CN"/>
        </w:rPr>
        <w:t xml:space="preserve"> 2024年生产熟料599477吨，水泥747975吨，温室气体排放包括：燃料燃烧CO</w:t>
      </w:r>
      <w:r>
        <w:rPr>
          <w:rFonts w:hint="eastAsia"/>
          <w:sz w:val="28"/>
          <w:szCs w:val="32"/>
          <w:highlight w:val="none"/>
          <w:vertAlign w:val="subscript"/>
          <w:lang w:val="en-US" w:eastAsia="zh-CN"/>
        </w:rPr>
        <w:t>2</w:t>
      </w:r>
      <w:r>
        <w:rPr>
          <w:rFonts w:hint="eastAsia"/>
          <w:sz w:val="28"/>
          <w:szCs w:val="32"/>
          <w:highlight w:val="none"/>
          <w:lang w:val="en-US" w:eastAsia="zh-CN"/>
        </w:rPr>
        <w:t>排放量152530.75吨，生产过程CO</w:t>
      </w:r>
      <w:r>
        <w:rPr>
          <w:rFonts w:hint="eastAsia"/>
          <w:sz w:val="28"/>
          <w:szCs w:val="32"/>
          <w:highlight w:val="none"/>
          <w:vertAlign w:val="subscript"/>
          <w:lang w:val="en-US" w:eastAsia="zh-CN"/>
        </w:rPr>
        <w:t>2</w:t>
      </w:r>
      <w:r>
        <w:rPr>
          <w:rFonts w:hint="eastAsia"/>
          <w:sz w:val="28"/>
          <w:szCs w:val="32"/>
          <w:highlight w:val="none"/>
          <w:lang w:val="en-US" w:eastAsia="zh-CN"/>
        </w:rPr>
        <w:t>排放量</w:t>
      </w:r>
    </w:p>
    <w:p w14:paraId="678282D6">
      <w:pPr>
        <w:rPr>
          <w:rFonts w:hint="eastAsia"/>
          <w:sz w:val="28"/>
          <w:szCs w:val="32"/>
          <w:highlight w:val="none"/>
          <w:lang w:val="en-US" w:eastAsia="zh-CN"/>
        </w:rPr>
      </w:pPr>
      <w:r>
        <w:rPr>
          <w:rFonts w:hint="eastAsia"/>
          <w:sz w:val="28"/>
          <w:szCs w:val="32"/>
          <w:highlight w:val="none"/>
          <w:lang w:val="en-US" w:eastAsia="zh-CN"/>
        </w:rPr>
        <w:t>265017.57吨，净购入电力隐含的CO</w:t>
      </w:r>
      <w:r>
        <w:rPr>
          <w:rFonts w:hint="eastAsia"/>
          <w:sz w:val="28"/>
          <w:szCs w:val="32"/>
          <w:highlight w:val="none"/>
          <w:vertAlign w:val="subscript"/>
          <w:lang w:val="en-US" w:eastAsia="zh-CN"/>
        </w:rPr>
        <w:t>2</w:t>
      </w:r>
      <w:r>
        <w:rPr>
          <w:rFonts w:hint="eastAsia"/>
          <w:sz w:val="28"/>
          <w:szCs w:val="32"/>
          <w:highlight w:val="none"/>
          <w:lang w:val="en-US" w:eastAsia="zh-CN"/>
        </w:rPr>
        <w:t>排放量23036.16吨，净购入热力隐含的CO</w:t>
      </w:r>
      <w:r>
        <w:rPr>
          <w:rFonts w:hint="eastAsia"/>
          <w:sz w:val="28"/>
          <w:szCs w:val="32"/>
          <w:highlight w:val="none"/>
          <w:vertAlign w:val="subscript"/>
          <w:lang w:val="en-US" w:eastAsia="zh-CN"/>
        </w:rPr>
        <w:t>2</w:t>
      </w:r>
      <w:r>
        <w:rPr>
          <w:rFonts w:hint="eastAsia"/>
          <w:sz w:val="28"/>
          <w:szCs w:val="32"/>
          <w:highlight w:val="none"/>
          <w:lang w:val="en-US" w:eastAsia="zh-CN"/>
        </w:rPr>
        <w:t>排放量为0吨，企业温室气体排放总量排放总量：440584.48吨CO2。</w:t>
      </w:r>
    </w:p>
    <w:p w14:paraId="140C16AA">
      <w:pPr>
        <w:ind w:firstLine="560" w:firstLineChars="200"/>
        <w:rPr>
          <w:rFonts w:hint="default"/>
          <w:lang w:val="en-US" w:eastAsia="zh-CN"/>
        </w:rPr>
      </w:pPr>
      <w:r>
        <w:rPr>
          <w:rFonts w:hint="eastAsia"/>
          <w:sz w:val="28"/>
          <w:szCs w:val="32"/>
          <w:highlight w:val="none"/>
          <w:lang w:val="en-US" w:eastAsia="zh-CN"/>
        </w:rPr>
        <w:t>2024年温室气体排放报告补充数据表，CO</w:t>
      </w:r>
      <w:r>
        <w:rPr>
          <w:rFonts w:hint="eastAsia"/>
          <w:sz w:val="28"/>
          <w:szCs w:val="32"/>
          <w:highlight w:val="none"/>
          <w:vertAlign w:val="subscript"/>
          <w:lang w:val="en-US" w:eastAsia="zh-CN"/>
        </w:rPr>
        <w:t>2</w:t>
      </w:r>
      <w:r>
        <w:rPr>
          <w:rFonts w:hint="eastAsia"/>
          <w:sz w:val="28"/>
          <w:szCs w:val="32"/>
          <w:highlight w:val="none"/>
          <w:lang w:val="en-US" w:eastAsia="zh-CN"/>
        </w:rPr>
        <w:t>排放量为：424060.19吨，单位产品CO</w:t>
      </w:r>
      <w:r>
        <w:rPr>
          <w:rFonts w:hint="eastAsia"/>
          <w:sz w:val="28"/>
          <w:szCs w:val="32"/>
          <w:highlight w:val="none"/>
          <w:vertAlign w:val="subscript"/>
          <w:lang w:val="en-US" w:eastAsia="zh-CN"/>
        </w:rPr>
        <w:t>2</w:t>
      </w:r>
      <w:r>
        <w:rPr>
          <w:rFonts w:hint="eastAsia"/>
          <w:sz w:val="28"/>
          <w:szCs w:val="32"/>
          <w:highlight w:val="none"/>
          <w:lang w:val="en-US" w:eastAsia="zh-CN"/>
        </w:rPr>
        <w:t>排放量为：0.707吨/吨。</w:t>
      </w:r>
    </w:p>
    <w:p w14:paraId="2C85EE02">
      <w:pPr>
        <w:pStyle w:val="2"/>
        <w:numPr>
          <w:ilvl w:val="0"/>
          <w:numId w:val="1"/>
        </w:numPr>
        <w:bidi w:val="0"/>
        <w:rPr>
          <w:rFonts w:hint="eastAsia"/>
          <w:lang w:val="en-US" w:eastAsia="zh-CN"/>
        </w:rPr>
      </w:pPr>
      <w:bookmarkStart w:id="77" w:name="_Toc5582"/>
      <w:bookmarkStart w:id="78" w:name="_Toc2828"/>
      <w:bookmarkStart w:id="79" w:name="_Toc12502"/>
      <w:r>
        <w:rPr>
          <w:rFonts w:hint="eastAsia"/>
          <w:lang w:val="en-US" w:eastAsia="zh-CN"/>
        </w:rPr>
        <w:t>企业文化</w:t>
      </w:r>
      <w:bookmarkEnd w:id="77"/>
      <w:bookmarkEnd w:id="78"/>
      <w:bookmarkEnd w:id="79"/>
    </w:p>
    <w:p w14:paraId="3189B0CC">
      <w:pPr>
        <w:pStyle w:val="3"/>
        <w:numPr>
          <w:ilvl w:val="1"/>
          <w:numId w:val="1"/>
        </w:numPr>
        <w:bidi w:val="0"/>
        <w:rPr>
          <w:rFonts w:hint="eastAsia"/>
          <w:lang w:val="en-US" w:eastAsia="zh-CN"/>
        </w:rPr>
      </w:pPr>
      <w:bookmarkStart w:id="80" w:name="_Toc1571"/>
      <w:bookmarkStart w:id="81" w:name="_Toc25607"/>
      <w:bookmarkStart w:id="82" w:name="_Toc24052"/>
      <w:r>
        <w:rPr>
          <w:rFonts w:hint="eastAsia"/>
          <w:lang w:val="en-US" w:eastAsia="zh-CN"/>
        </w:rPr>
        <w:t>关爱员工，以人为本</w:t>
      </w:r>
      <w:bookmarkEnd w:id="80"/>
      <w:bookmarkEnd w:id="81"/>
      <w:bookmarkEnd w:id="82"/>
    </w:p>
    <w:p w14:paraId="61320217">
      <w:pPr>
        <w:pStyle w:val="12"/>
        <w:ind w:left="0" w:leftChars="0" w:firstLine="500" w:firstLineChars="0"/>
        <w:rPr>
          <w:rFonts w:hint="eastAsia" w:asciiTheme="minorHAnsi" w:hAnsiTheme="minorHAnsi" w:eastAsiaTheme="minorEastAsia" w:cstheme="minorBidi"/>
          <w:b w:val="0"/>
          <w:bCs w:val="0"/>
          <w:kern w:val="2"/>
          <w:sz w:val="28"/>
          <w:szCs w:val="32"/>
          <w:lang w:val="en-US" w:eastAsia="zh-CN" w:bidi="ar-SA"/>
        </w:rPr>
      </w:pPr>
      <w:r>
        <w:rPr>
          <w:rFonts w:hint="eastAsia" w:asciiTheme="minorHAnsi" w:hAnsiTheme="minorHAnsi" w:eastAsiaTheme="minorEastAsia" w:cstheme="minorBidi"/>
          <w:b w:val="0"/>
          <w:bCs w:val="0"/>
          <w:kern w:val="2"/>
          <w:sz w:val="28"/>
          <w:szCs w:val="32"/>
          <w:lang w:val="en-US" w:eastAsia="zh-CN" w:bidi="ar-SA"/>
        </w:rPr>
        <w:t>企业的发展离不开员工的辛苦付出，员工的身体健康，不仅关乎公司持续稳定的生产运营，更关系到每一个员工家庭的幸福。汇丰公司始终坚持“以人为本”的原则，每年为员工提供免费体检，</w:t>
      </w:r>
      <w:r>
        <w:rPr>
          <w:rFonts w:hint="eastAsia" w:asciiTheme="minorHAnsi" w:hAnsiTheme="minorHAnsi" w:cstheme="minorBidi"/>
          <w:b w:val="0"/>
          <w:bCs w:val="0"/>
          <w:kern w:val="2"/>
          <w:sz w:val="28"/>
          <w:szCs w:val="32"/>
          <w:lang w:val="en-US" w:eastAsia="zh-CN" w:bidi="ar-SA"/>
        </w:rPr>
        <w:t>建立</w:t>
      </w:r>
      <w:r>
        <w:rPr>
          <w:rFonts w:hint="eastAsia" w:asciiTheme="minorHAnsi" w:hAnsiTheme="minorHAnsi" w:eastAsiaTheme="minorEastAsia" w:cstheme="minorBidi"/>
          <w:b w:val="0"/>
          <w:bCs w:val="0"/>
          <w:kern w:val="2"/>
          <w:sz w:val="28"/>
          <w:szCs w:val="32"/>
          <w:lang w:val="en-US" w:eastAsia="zh-CN" w:bidi="ar-SA"/>
        </w:rPr>
        <w:t>健全员工职业卫生和监护档案。</w:t>
      </w:r>
    </w:p>
    <w:p w14:paraId="7DCEF1B0">
      <w:pPr>
        <w:pStyle w:val="12"/>
        <w:ind w:left="0" w:leftChars="0" w:firstLine="500" w:firstLineChars="0"/>
        <w:rPr>
          <w:rFonts w:hint="eastAsia" w:asciiTheme="minorHAnsi" w:hAnsiTheme="minorHAnsi" w:cstheme="minorBidi"/>
          <w:b w:val="0"/>
          <w:bCs w:val="0"/>
          <w:kern w:val="2"/>
          <w:sz w:val="28"/>
          <w:szCs w:val="32"/>
          <w:lang w:val="en-US" w:eastAsia="zh-CN" w:bidi="ar-SA"/>
        </w:rPr>
      </w:pPr>
      <w:r>
        <w:rPr>
          <w:rFonts w:hint="eastAsia" w:asciiTheme="minorHAnsi" w:hAnsiTheme="minorHAnsi" w:cstheme="minorBidi"/>
          <w:b w:val="0"/>
          <w:bCs w:val="0"/>
          <w:kern w:val="2"/>
          <w:sz w:val="28"/>
          <w:szCs w:val="32"/>
          <w:lang w:val="en-US" w:eastAsia="zh-CN" w:bidi="ar-SA"/>
        </w:rPr>
        <w:t>中秋及春节等</w:t>
      </w:r>
      <w:r>
        <w:rPr>
          <w:rFonts w:hint="eastAsia" w:asciiTheme="minorHAnsi" w:hAnsiTheme="minorHAnsi" w:eastAsiaTheme="minorEastAsia" w:cstheme="minorBidi"/>
          <w:b w:val="0"/>
          <w:bCs w:val="0"/>
          <w:kern w:val="2"/>
          <w:sz w:val="28"/>
          <w:szCs w:val="32"/>
          <w:lang w:val="en-US" w:eastAsia="zh-CN" w:bidi="ar-SA"/>
        </w:rPr>
        <w:t>节日里为员工发放福利，夏季</w:t>
      </w:r>
      <w:r>
        <w:rPr>
          <w:rFonts w:hint="eastAsia" w:asciiTheme="minorHAnsi" w:hAnsiTheme="minorHAnsi" w:cstheme="minorBidi"/>
          <w:b w:val="0"/>
          <w:bCs w:val="0"/>
          <w:kern w:val="2"/>
          <w:sz w:val="28"/>
          <w:szCs w:val="32"/>
          <w:lang w:val="en-US" w:eastAsia="zh-CN" w:bidi="ar-SA"/>
        </w:rPr>
        <w:t>发放消暑药品及绿豆水、西瓜等。</w:t>
      </w:r>
    </w:p>
    <w:p w14:paraId="0B0A2E6E">
      <w:pPr>
        <w:pStyle w:val="12"/>
        <w:ind w:left="0" w:leftChars="0" w:firstLine="500" w:firstLineChars="0"/>
        <w:rPr>
          <w:rFonts w:hint="eastAsia" w:asciiTheme="minorHAnsi" w:hAnsiTheme="minorHAnsi" w:cstheme="minorBidi"/>
          <w:b w:val="0"/>
          <w:bCs w:val="0"/>
          <w:kern w:val="2"/>
          <w:sz w:val="28"/>
          <w:szCs w:val="32"/>
          <w:lang w:val="en-US" w:eastAsia="zh-CN" w:bidi="ar-SA"/>
        </w:rPr>
      </w:pPr>
      <w:r>
        <w:rPr>
          <w:rFonts w:hint="eastAsia" w:asciiTheme="minorHAnsi" w:hAnsiTheme="minorHAnsi" w:eastAsiaTheme="minorEastAsia" w:cstheme="minorBidi"/>
          <w:b w:val="0"/>
          <w:bCs w:val="0"/>
          <w:kern w:val="2"/>
          <w:sz w:val="28"/>
          <w:szCs w:val="32"/>
          <w:lang w:val="en-US" w:eastAsia="zh-CN" w:bidi="ar-SA"/>
        </w:rPr>
        <w:t>每年对</w:t>
      </w:r>
      <w:r>
        <w:rPr>
          <w:rFonts w:hint="eastAsia" w:asciiTheme="minorHAnsi" w:hAnsiTheme="minorHAnsi" w:cstheme="minorBidi"/>
          <w:b w:val="0"/>
          <w:bCs w:val="0"/>
          <w:kern w:val="2"/>
          <w:sz w:val="28"/>
          <w:szCs w:val="32"/>
          <w:lang w:val="en-US" w:eastAsia="zh-CN" w:bidi="ar-SA"/>
        </w:rPr>
        <w:t>大南庄</w:t>
      </w:r>
      <w:r>
        <w:rPr>
          <w:rFonts w:hint="eastAsia" w:asciiTheme="minorHAnsi" w:hAnsiTheme="minorHAnsi" w:eastAsiaTheme="minorEastAsia" w:cstheme="minorBidi"/>
          <w:b w:val="0"/>
          <w:bCs w:val="0"/>
          <w:kern w:val="2"/>
          <w:sz w:val="28"/>
          <w:szCs w:val="32"/>
          <w:lang w:val="en-US" w:eastAsia="zh-CN" w:bidi="ar-SA"/>
        </w:rPr>
        <w:t>考上</w:t>
      </w:r>
      <w:r>
        <w:rPr>
          <w:rFonts w:hint="eastAsia" w:asciiTheme="minorHAnsi" w:hAnsiTheme="minorHAnsi" w:cstheme="minorBidi"/>
          <w:b w:val="0"/>
          <w:bCs w:val="0"/>
          <w:kern w:val="2"/>
          <w:sz w:val="28"/>
          <w:szCs w:val="32"/>
          <w:lang w:val="en-US" w:eastAsia="zh-CN" w:bidi="ar-SA"/>
        </w:rPr>
        <w:t>大学本科及研究生</w:t>
      </w:r>
      <w:r>
        <w:rPr>
          <w:rFonts w:hint="eastAsia" w:asciiTheme="minorHAnsi" w:hAnsiTheme="minorHAnsi" w:eastAsiaTheme="minorEastAsia" w:cstheme="minorBidi"/>
          <w:b w:val="0"/>
          <w:bCs w:val="0"/>
          <w:kern w:val="2"/>
          <w:sz w:val="28"/>
          <w:szCs w:val="32"/>
          <w:lang w:val="en-US" w:eastAsia="zh-CN" w:bidi="ar-SA"/>
        </w:rPr>
        <w:t>的员工子女，给予现金奖励和物资鼓励</w:t>
      </w:r>
      <w:r>
        <w:rPr>
          <w:rFonts w:hint="eastAsia" w:asciiTheme="minorHAnsi" w:hAnsiTheme="minorHAnsi" w:cstheme="minorBidi"/>
          <w:b w:val="0"/>
          <w:bCs w:val="0"/>
          <w:kern w:val="2"/>
          <w:sz w:val="28"/>
          <w:szCs w:val="32"/>
          <w:lang w:val="en-US" w:eastAsia="zh-CN" w:bidi="ar-SA"/>
        </w:rPr>
        <w:t>。</w:t>
      </w:r>
    </w:p>
    <w:p w14:paraId="18041C48">
      <w:pPr>
        <w:pStyle w:val="12"/>
        <w:ind w:left="0" w:leftChars="0" w:firstLine="500" w:firstLineChars="0"/>
        <w:rPr>
          <w:rFonts w:hint="default"/>
          <w:lang w:val="en-US" w:eastAsia="zh-CN"/>
        </w:rPr>
      </w:pPr>
      <w:r>
        <w:rPr>
          <w:rFonts w:hint="eastAsia" w:asciiTheme="minorHAnsi" w:hAnsiTheme="minorHAnsi" w:cstheme="minorBidi"/>
          <w:b w:val="0"/>
          <w:bCs w:val="0"/>
          <w:kern w:val="2"/>
          <w:sz w:val="28"/>
          <w:szCs w:val="32"/>
          <w:lang w:val="en-US" w:eastAsia="zh-CN" w:bidi="ar-SA"/>
        </w:rPr>
        <w:t>对于每年表现突出的优秀员工及班组，除给予物资奖励外，还提供免费外出旅游的待遇。在物资和精神上对员工给予充分的关怀，使员工体会到了汇丰大家庭的和谐氛围。</w:t>
      </w:r>
    </w:p>
    <w:p w14:paraId="7A566491">
      <w:pPr>
        <w:pStyle w:val="3"/>
        <w:numPr>
          <w:ilvl w:val="1"/>
          <w:numId w:val="1"/>
        </w:numPr>
        <w:bidi w:val="0"/>
        <w:rPr>
          <w:rFonts w:hint="default"/>
          <w:lang w:val="en-US" w:eastAsia="zh-CN"/>
        </w:rPr>
      </w:pPr>
      <w:bookmarkStart w:id="83" w:name="_Toc32699"/>
      <w:bookmarkStart w:id="84" w:name="_Toc32260"/>
      <w:bookmarkStart w:id="85" w:name="_Toc7623"/>
      <w:r>
        <w:rPr>
          <w:rFonts w:hint="eastAsia"/>
          <w:lang w:val="en-US" w:eastAsia="zh-CN"/>
        </w:rPr>
        <w:t>安全生产，制度保障</w:t>
      </w:r>
      <w:bookmarkEnd w:id="83"/>
      <w:bookmarkEnd w:id="84"/>
      <w:bookmarkEnd w:id="85"/>
    </w:p>
    <w:p w14:paraId="0AA1367D">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420" w:firstLineChars="200"/>
        <w:jc w:val="left"/>
        <w:textAlignment w:val="bottom"/>
        <w:rPr>
          <w:rFonts w:hint="eastAsia" w:asciiTheme="minorHAnsi" w:hAnsiTheme="minorHAnsi" w:eastAsiaTheme="minorEastAsia" w:cstheme="minorBidi"/>
          <w:b w:val="0"/>
          <w:bCs w:val="0"/>
          <w:kern w:val="2"/>
          <w:sz w:val="28"/>
          <w:szCs w:val="32"/>
          <w:lang w:val="en-US" w:eastAsia="zh-CN" w:bidi="ar-SA"/>
        </w:rPr>
      </w:pPr>
      <w:r>
        <w:rPr>
          <w:rFonts w:hint="eastAsia"/>
          <w:lang w:val="en-US" w:eastAsia="zh-CN"/>
        </w:rPr>
        <w:t xml:space="preserve"> </w:t>
      </w:r>
      <w:r>
        <w:rPr>
          <w:rFonts w:hint="eastAsia" w:cstheme="minorBidi"/>
          <w:b w:val="0"/>
          <w:bCs w:val="0"/>
          <w:kern w:val="2"/>
          <w:sz w:val="28"/>
          <w:szCs w:val="32"/>
          <w:lang w:val="en-US" w:eastAsia="zh-CN" w:bidi="ar-SA"/>
        </w:rPr>
        <w:t>“管生产必须安全”，</w:t>
      </w:r>
      <w:r>
        <w:rPr>
          <w:rFonts w:hint="eastAsia" w:asciiTheme="minorHAnsi" w:hAnsiTheme="minorHAnsi" w:eastAsiaTheme="minorEastAsia" w:cstheme="minorBidi"/>
          <w:b w:val="0"/>
          <w:bCs w:val="0"/>
          <w:kern w:val="2"/>
          <w:sz w:val="28"/>
          <w:szCs w:val="32"/>
          <w:lang w:val="en-US" w:eastAsia="zh-CN" w:bidi="ar-SA"/>
        </w:rPr>
        <w:t>安全是企业发展的保证，是家庭幸福的基石，是社会和谐的源泉。安全管理是汇丰公司经营管理的重要前提，安全生产更是公司常抓不懈的一项重要工作。</w:t>
      </w:r>
    </w:p>
    <w:p w14:paraId="45A86721">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560" w:firstLineChars="200"/>
        <w:jc w:val="left"/>
        <w:textAlignment w:val="bottom"/>
        <w:rPr>
          <w:rFonts w:hint="eastAsia" w:asciiTheme="minorHAnsi" w:hAnsiTheme="minorHAnsi" w:cstheme="minorBidi"/>
          <w:b w:val="0"/>
          <w:bCs w:val="0"/>
          <w:kern w:val="2"/>
          <w:sz w:val="28"/>
          <w:szCs w:val="32"/>
          <w:lang w:val="en-US" w:eastAsia="zh-CN" w:bidi="ar-SA"/>
        </w:rPr>
      </w:pPr>
      <w:r>
        <w:rPr>
          <w:rFonts w:hint="eastAsia" w:asciiTheme="minorHAnsi" w:hAnsiTheme="minorHAnsi" w:cstheme="minorBidi"/>
          <w:b w:val="0"/>
          <w:bCs w:val="0"/>
          <w:kern w:val="2"/>
          <w:sz w:val="28"/>
          <w:szCs w:val="32"/>
          <w:lang w:val="en-US" w:eastAsia="zh-CN" w:bidi="ar-SA"/>
        </w:rPr>
        <w:t>公司严格遵守《中华人民共和国安全生产法》，制定安全生产管理制度并进行定期完善，设立安全生产管理机构，明确了各部门安全管理职责。通过实施安全生产目标管理及考核，并组织全员签订安全生产目标责任书，打造全员参与安全体系建设的氛围。</w:t>
      </w:r>
    </w:p>
    <w:p w14:paraId="58700B74">
      <w:pPr>
        <w:ind w:firstLine="560" w:firstLineChars="200"/>
        <w:rPr>
          <w:rFonts w:hint="eastAsia" w:cstheme="minorBidi"/>
          <w:b w:val="0"/>
          <w:bCs w:val="0"/>
          <w:kern w:val="2"/>
          <w:sz w:val="28"/>
          <w:szCs w:val="32"/>
          <w:lang w:val="en-US" w:eastAsia="zh-CN" w:bidi="ar-SA"/>
        </w:rPr>
      </w:pPr>
      <w:r>
        <w:rPr>
          <w:rFonts w:hint="eastAsia" w:cstheme="minorBidi"/>
          <w:b w:val="0"/>
          <w:bCs w:val="0"/>
          <w:kern w:val="2"/>
          <w:sz w:val="28"/>
          <w:szCs w:val="32"/>
          <w:lang w:val="en-US" w:eastAsia="zh-CN" w:bidi="ar-SA"/>
        </w:rPr>
        <w:t>在公司安全生产领导小组的带领下，公司开展了各项安全专项检查和日常检查，查验和考核各部门安全责任制落实情况，发现隐患及时整改，安全隐患做到了闭环管理。各部门每天开展班前班后安全会议，实行安全交接班制度。安全工作做到了层层落实，并牢固树立“培训不到位，安全不落地”的原则，始终把职业健康教育和安全培训工作摆到重要位置，对于新入职的员工实行三级安全教育培训，考核合格后方可上岗。制定全员安全教育培训计划和应急演练计划，并按计划进行培训和应急演练，时刻把安全生产放到首位，严守安全“红线”，强化员工的安全意识和应急处置能力。</w:t>
      </w:r>
    </w:p>
    <w:p w14:paraId="439EB0A7">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560" w:firstLineChars="200"/>
        <w:jc w:val="left"/>
        <w:textAlignment w:val="bottom"/>
        <w:rPr>
          <w:rFonts w:hint="eastAsia" w:cstheme="minorBidi"/>
          <w:b w:val="0"/>
          <w:bCs w:val="0"/>
          <w:kern w:val="2"/>
          <w:sz w:val="28"/>
          <w:szCs w:val="32"/>
          <w:lang w:val="en-US" w:eastAsia="zh-CN" w:bidi="ar-SA"/>
        </w:rPr>
      </w:pPr>
      <w:r>
        <w:rPr>
          <w:rFonts w:hint="eastAsia" w:cstheme="minorBidi"/>
          <w:b w:val="0"/>
          <w:bCs w:val="0"/>
          <w:kern w:val="2"/>
          <w:sz w:val="28"/>
          <w:szCs w:val="32"/>
          <w:lang w:val="en-US" w:eastAsia="zh-CN" w:bidi="ar-SA"/>
        </w:rPr>
        <w:t>通过安全标准化建设，不断夯实安全管理基础，严格执行安全管理制度，强化企业安全责任，筑牢安全防线，通过公司不断改进获得建材水泥行业“安全生产标准化三级企业”荣誉，2024年生产经营过程</w:t>
      </w:r>
      <w:r>
        <w:rPr>
          <w:rFonts w:hint="eastAsia" w:ascii="宋体" w:hAnsi="宋体" w:eastAsia="宋体" w:cs="宋体"/>
          <w:b w:val="0"/>
          <w:bCs w:val="0"/>
          <w:color w:val="auto"/>
          <w:sz w:val="28"/>
          <w:szCs w:val="28"/>
          <w:lang w:val="en-US" w:eastAsia="zh-CN"/>
        </w:rPr>
        <w:t>中未发生生产安全事故、消防安全事故和其他安全责任事故，伤亡率为零</w:t>
      </w:r>
      <w:r>
        <w:rPr>
          <w:rFonts w:hint="eastAsia" w:cstheme="minorBidi"/>
          <w:b w:val="0"/>
          <w:bCs w:val="0"/>
          <w:kern w:val="2"/>
          <w:sz w:val="28"/>
          <w:szCs w:val="32"/>
          <w:lang w:val="en-US" w:eastAsia="zh-CN" w:bidi="ar-SA"/>
        </w:rPr>
        <w:t>。</w:t>
      </w:r>
    </w:p>
    <w:p w14:paraId="1127B99A">
      <w:pPr>
        <w:pStyle w:val="3"/>
        <w:numPr>
          <w:ilvl w:val="1"/>
          <w:numId w:val="1"/>
        </w:numPr>
        <w:bidi w:val="0"/>
        <w:rPr>
          <w:rFonts w:hint="default"/>
          <w:lang w:val="en-US" w:eastAsia="zh-CN"/>
        </w:rPr>
      </w:pPr>
      <w:bookmarkStart w:id="86" w:name="_Toc305"/>
      <w:bookmarkStart w:id="87" w:name="_Toc30300"/>
      <w:bookmarkStart w:id="88" w:name="_Toc19198"/>
      <w:r>
        <w:rPr>
          <w:rFonts w:hint="eastAsia"/>
          <w:lang w:val="en-US" w:eastAsia="zh-CN"/>
        </w:rPr>
        <w:t>职业健康，技术护航</w:t>
      </w:r>
      <w:bookmarkEnd w:id="86"/>
      <w:bookmarkEnd w:id="87"/>
      <w:bookmarkEnd w:id="88"/>
    </w:p>
    <w:p w14:paraId="54053F92">
      <w:pPr>
        <w:pStyle w:val="12"/>
        <w:ind w:left="0" w:leftChars="0" w:firstLine="560" w:firstLineChars="200"/>
        <w:rPr>
          <w:rFonts w:hint="eastAsia" w:asciiTheme="minorHAnsi" w:hAnsiTheme="minorHAnsi" w:eastAsiaTheme="minorEastAsia" w:cstheme="minorBidi"/>
          <w:b w:val="0"/>
          <w:bCs w:val="0"/>
          <w:kern w:val="2"/>
          <w:sz w:val="28"/>
          <w:szCs w:val="32"/>
          <w:lang w:val="en-US" w:eastAsia="zh-CN" w:bidi="ar-SA"/>
        </w:rPr>
      </w:pPr>
      <w:r>
        <w:rPr>
          <w:rFonts w:hint="eastAsia" w:asciiTheme="minorHAnsi" w:hAnsiTheme="minorHAnsi" w:eastAsiaTheme="minorEastAsia" w:cstheme="minorBidi"/>
          <w:b w:val="0"/>
          <w:bCs w:val="0"/>
          <w:kern w:val="2"/>
          <w:sz w:val="28"/>
          <w:szCs w:val="32"/>
          <w:lang w:val="en-US" w:eastAsia="zh-CN" w:bidi="ar-SA"/>
        </w:rPr>
        <w:t>公司</w:t>
      </w:r>
      <w:r>
        <w:rPr>
          <w:rFonts w:hint="eastAsia" w:asciiTheme="minorHAnsi" w:hAnsiTheme="minorHAnsi" w:cstheme="minorBidi"/>
          <w:b w:val="0"/>
          <w:bCs w:val="0"/>
          <w:kern w:val="2"/>
          <w:sz w:val="28"/>
          <w:szCs w:val="32"/>
          <w:lang w:val="en-US" w:eastAsia="zh-CN" w:bidi="ar-SA"/>
        </w:rPr>
        <w:t>依据《中华人民共和国职业病防治法》《工作场所职业卫生管理规定》，设置专职职业卫生管理人员，制定职业卫生管理规章制度，明确各部门、人员的职业防护职责，加强宣传教育培训制度。公司</w:t>
      </w:r>
      <w:r>
        <w:rPr>
          <w:rFonts w:hint="eastAsia" w:asciiTheme="minorHAnsi" w:hAnsiTheme="minorHAnsi" w:eastAsiaTheme="minorEastAsia" w:cstheme="minorBidi"/>
          <w:b w:val="0"/>
          <w:bCs w:val="0"/>
          <w:kern w:val="2"/>
          <w:sz w:val="28"/>
          <w:szCs w:val="32"/>
          <w:lang w:val="en-US" w:eastAsia="zh-CN" w:bidi="ar-SA"/>
        </w:rPr>
        <w:t>始终保证对安全</w:t>
      </w:r>
      <w:r>
        <w:rPr>
          <w:rFonts w:hint="eastAsia" w:asciiTheme="minorHAnsi" w:hAnsiTheme="minorHAnsi" w:cstheme="minorBidi"/>
          <w:b w:val="0"/>
          <w:bCs w:val="0"/>
          <w:kern w:val="2"/>
          <w:sz w:val="28"/>
          <w:szCs w:val="32"/>
          <w:lang w:val="en-US" w:eastAsia="zh-CN" w:bidi="ar-SA"/>
        </w:rPr>
        <w:t>防护</w:t>
      </w:r>
      <w:r>
        <w:rPr>
          <w:rFonts w:hint="eastAsia" w:asciiTheme="minorHAnsi" w:hAnsiTheme="minorHAnsi" w:eastAsiaTheme="minorEastAsia" w:cstheme="minorBidi"/>
          <w:b w:val="0"/>
          <w:bCs w:val="0"/>
          <w:kern w:val="2"/>
          <w:sz w:val="28"/>
          <w:szCs w:val="32"/>
          <w:lang w:val="en-US" w:eastAsia="zh-CN" w:bidi="ar-SA"/>
        </w:rPr>
        <w:t>设施的投入。对所有新进员工全部进行了岗前体检，涉及职业病危害人员进行了岗中体检；现场所有作业人员每月按时发放了符合国家标准的相关防护用品，并每天对现场作业人员的防护用品佩戴情况进行监督检查。</w:t>
      </w:r>
    </w:p>
    <w:p w14:paraId="78A94CE0">
      <w:pPr>
        <w:rPr>
          <w:rFonts w:hint="default"/>
          <w:lang w:val="en-US" w:eastAsia="zh-CN"/>
        </w:rPr>
      </w:pPr>
      <w:r>
        <w:rPr>
          <w:rFonts w:hint="eastAsia" w:cstheme="minorBidi"/>
          <w:b w:val="0"/>
          <w:bCs w:val="0"/>
          <w:kern w:val="2"/>
          <w:sz w:val="28"/>
          <w:szCs w:val="32"/>
          <w:lang w:val="en-US" w:eastAsia="zh-CN" w:bidi="ar-SA"/>
        </w:rPr>
        <w:t xml:space="preserve">   </w:t>
      </w:r>
    </w:p>
    <w:p w14:paraId="518B31D1">
      <w:pPr>
        <w:pStyle w:val="12"/>
        <w:ind w:left="0" w:leftChars="0" w:firstLine="560" w:firstLineChars="200"/>
        <w:rPr>
          <w:rFonts w:hint="default" w:asciiTheme="minorHAnsi" w:hAnsiTheme="minorHAnsi" w:eastAsiaTheme="minorEastAsia" w:cstheme="minorBidi"/>
          <w:b w:val="0"/>
          <w:bCs w:val="0"/>
          <w:kern w:val="2"/>
          <w:sz w:val="28"/>
          <w:szCs w:val="32"/>
          <w:lang w:val="en-US" w:eastAsia="zh-CN" w:bidi="ar-SA"/>
        </w:rPr>
      </w:pPr>
      <w:r>
        <w:rPr>
          <w:rFonts w:hint="eastAsia" w:asciiTheme="minorHAnsi" w:hAnsiTheme="minorHAnsi" w:eastAsiaTheme="minorEastAsia" w:cstheme="minorBidi"/>
          <w:b w:val="0"/>
          <w:bCs w:val="0"/>
          <w:kern w:val="2"/>
          <w:sz w:val="28"/>
          <w:szCs w:val="32"/>
          <w:lang w:val="en-US" w:eastAsia="zh-CN" w:bidi="ar-SA"/>
        </w:rPr>
        <w:t>202</w:t>
      </w:r>
      <w:r>
        <w:rPr>
          <w:rFonts w:hint="eastAsia" w:asciiTheme="minorHAnsi" w:hAnsiTheme="minorHAnsi" w:cstheme="minorBidi"/>
          <w:b w:val="0"/>
          <w:bCs w:val="0"/>
          <w:kern w:val="2"/>
          <w:sz w:val="28"/>
          <w:szCs w:val="32"/>
          <w:lang w:val="en-US" w:eastAsia="zh-CN" w:bidi="ar-SA"/>
        </w:rPr>
        <w:t>4</w:t>
      </w:r>
      <w:r>
        <w:rPr>
          <w:rFonts w:hint="eastAsia" w:asciiTheme="minorHAnsi" w:hAnsiTheme="minorHAnsi" w:eastAsiaTheme="minorEastAsia" w:cstheme="minorBidi"/>
          <w:b w:val="0"/>
          <w:bCs w:val="0"/>
          <w:kern w:val="2"/>
          <w:sz w:val="28"/>
          <w:szCs w:val="32"/>
          <w:lang w:val="en-US" w:eastAsia="zh-CN" w:bidi="ar-SA"/>
        </w:rPr>
        <w:t>年职业病发病率为零</w:t>
      </w:r>
      <w:r>
        <w:rPr>
          <w:rFonts w:hint="eastAsia" w:asciiTheme="minorHAnsi" w:hAnsiTheme="minorHAnsi" w:cstheme="minorBidi"/>
          <w:b w:val="0"/>
          <w:bCs w:val="0"/>
          <w:kern w:val="2"/>
          <w:sz w:val="28"/>
          <w:szCs w:val="32"/>
          <w:lang w:val="en-US" w:eastAsia="zh-CN" w:bidi="ar-SA"/>
        </w:rPr>
        <w:t>，无疑似职业病或职业病禁忌症。</w:t>
      </w:r>
    </w:p>
    <w:p w14:paraId="59EC5B2A">
      <w:pPr>
        <w:ind w:firstLine="643" w:firstLineChars="200"/>
        <w:rPr>
          <w:rFonts w:hint="default"/>
          <w:sz w:val="28"/>
          <w:szCs w:val="28"/>
          <w:lang w:val="en-US"/>
        </w:rPr>
      </w:pPr>
      <w:bookmarkStart w:id="89" w:name="_Toc1139"/>
      <w:bookmarkStart w:id="90" w:name="_Toc24234"/>
      <w:bookmarkStart w:id="91" w:name="_Toc30393"/>
      <w:r>
        <w:rPr>
          <w:rStyle w:val="19"/>
          <w:rFonts w:hint="eastAsia"/>
          <w:lang w:val="en-US" w:eastAsia="zh-CN"/>
        </w:rPr>
        <w:t>结语：</w:t>
      </w:r>
      <w:bookmarkEnd w:id="89"/>
      <w:bookmarkEnd w:id="90"/>
      <w:bookmarkEnd w:id="91"/>
      <w:r>
        <w:rPr>
          <w:rFonts w:hint="eastAsia"/>
          <w:sz w:val="28"/>
          <w:szCs w:val="28"/>
          <w:lang w:val="en-US" w:eastAsia="zh-CN"/>
        </w:rPr>
        <w:t>在过去的一年里，公司用行动诠释责任和担当，用企业发展推动社会繁荣进步。未来我们相信，在政府的坚强、正确领导下，公司将继续砥砺前行，积极履行社会责任，将人文关爱和企业爱心传递下去，续写汇丰公司更加美好的明天。</w:t>
      </w:r>
    </w:p>
    <w:sectPr>
      <w:footerReference r:id="rId4" w:type="default"/>
      <w:pgSz w:w="11906" w:h="16838"/>
      <w:pgMar w:top="1440" w:right="1417" w:bottom="1440" w:left="141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C2ED8">
    <w:pPr>
      <w:pStyle w:val="8"/>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A06EA">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63C78">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7963C78">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B4D9A"/>
    <w:multiLevelType w:val="multilevel"/>
    <w:tmpl w:val="EDFB4D9A"/>
    <w:lvl w:ilvl="0" w:tentative="0">
      <w:start w:val="1"/>
      <w:numFmt w:val="decimal"/>
      <w:suff w:val="space"/>
      <w:lvlText w:val="%1."/>
      <w:lvlJc w:val="left"/>
    </w:lvl>
    <w:lvl w:ilvl="1" w:tentative="0">
      <w:start w:val="1"/>
      <w:numFmt w:val="decimal"/>
      <w:suff w:val="space"/>
      <w:lvlText w:val="%1.%2"/>
      <w:lvlJc w:val="left"/>
      <w:pPr>
        <w:ind w:left="240" w:leftChars="0" w:firstLine="0" w:firstLineChars="0"/>
      </w:pPr>
      <w:rPr>
        <w:rFonts w:hint="default"/>
      </w:rPr>
    </w:lvl>
    <w:lvl w:ilvl="2" w:tentative="0">
      <w:start w:val="1"/>
      <w:numFmt w:val="decimal"/>
      <w:suff w:val="space"/>
      <w:lvlText w:val="%1.%2.%3"/>
      <w:lvlJc w:val="left"/>
      <w:pPr>
        <w:ind w:left="240" w:leftChars="0" w:firstLine="0" w:firstLineChars="0"/>
      </w:pPr>
      <w:rPr>
        <w:rFonts w:hint="default"/>
      </w:rPr>
    </w:lvl>
    <w:lvl w:ilvl="3" w:tentative="0">
      <w:start w:val="1"/>
      <w:numFmt w:val="decimal"/>
      <w:suff w:val="space"/>
      <w:lvlText w:val="%1.%2.%3.%4"/>
      <w:lvlJc w:val="left"/>
      <w:pPr>
        <w:ind w:left="240" w:leftChars="0" w:firstLine="0" w:firstLineChars="0"/>
      </w:pPr>
      <w:rPr>
        <w:rFonts w:hint="default"/>
      </w:rPr>
    </w:lvl>
    <w:lvl w:ilvl="4" w:tentative="0">
      <w:start w:val="1"/>
      <w:numFmt w:val="decimal"/>
      <w:suff w:val="space"/>
      <w:lvlText w:val="%1.%2.%3.%4.%5"/>
      <w:lvlJc w:val="left"/>
      <w:pPr>
        <w:ind w:left="240" w:leftChars="0" w:firstLine="0" w:firstLineChars="0"/>
      </w:pPr>
      <w:rPr>
        <w:rFonts w:hint="default"/>
      </w:rPr>
    </w:lvl>
    <w:lvl w:ilvl="5" w:tentative="0">
      <w:start w:val="1"/>
      <w:numFmt w:val="decimal"/>
      <w:suff w:val="space"/>
      <w:lvlText w:val="%1.%2.%3.%4.%5.%6"/>
      <w:lvlJc w:val="left"/>
      <w:pPr>
        <w:ind w:left="240" w:leftChars="0" w:firstLine="0" w:firstLineChars="0"/>
      </w:pPr>
      <w:rPr>
        <w:rFonts w:hint="default"/>
      </w:rPr>
    </w:lvl>
    <w:lvl w:ilvl="6" w:tentative="0">
      <w:start w:val="1"/>
      <w:numFmt w:val="decimal"/>
      <w:suff w:val="space"/>
      <w:lvlText w:val="%1.%2.%3.%4.%5.%6.%7"/>
      <w:lvlJc w:val="left"/>
      <w:pPr>
        <w:ind w:left="240" w:leftChars="0" w:firstLine="0" w:firstLineChars="0"/>
      </w:pPr>
      <w:rPr>
        <w:rFonts w:hint="default"/>
      </w:rPr>
    </w:lvl>
    <w:lvl w:ilvl="7" w:tentative="0">
      <w:start w:val="1"/>
      <w:numFmt w:val="decimal"/>
      <w:suff w:val="space"/>
      <w:lvlText w:val="%1.%2.%3.%4.%5.%6.%7.%8"/>
      <w:lvlJc w:val="left"/>
      <w:pPr>
        <w:ind w:left="240" w:leftChars="0" w:firstLine="0" w:firstLineChars="0"/>
      </w:pPr>
      <w:rPr>
        <w:rFonts w:hint="default"/>
      </w:rPr>
    </w:lvl>
    <w:lvl w:ilvl="8" w:tentative="0">
      <w:start w:val="1"/>
      <w:numFmt w:val="decimal"/>
      <w:suff w:val="space"/>
      <w:lvlText w:val="%1.%2.%3.%4.%5.%6.%7.%8.%9"/>
      <w:lvlJc w:val="left"/>
      <w:pPr>
        <w:ind w:left="24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MzVkYzkwMDcyY2RkNTY1ZjA0MDRhMDRlMDA5NWMifQ=="/>
  </w:docVars>
  <w:rsids>
    <w:rsidRoot w:val="00000000"/>
    <w:rsid w:val="018A7679"/>
    <w:rsid w:val="05CA2E5F"/>
    <w:rsid w:val="12B250B3"/>
    <w:rsid w:val="14972381"/>
    <w:rsid w:val="17470353"/>
    <w:rsid w:val="17D23317"/>
    <w:rsid w:val="1BBB25EC"/>
    <w:rsid w:val="1E0E27CF"/>
    <w:rsid w:val="21FA4B89"/>
    <w:rsid w:val="26DB434F"/>
    <w:rsid w:val="276B4E3E"/>
    <w:rsid w:val="2D660DCE"/>
    <w:rsid w:val="318F603D"/>
    <w:rsid w:val="32F566AF"/>
    <w:rsid w:val="35133837"/>
    <w:rsid w:val="35326FCA"/>
    <w:rsid w:val="38941C42"/>
    <w:rsid w:val="3BD333EF"/>
    <w:rsid w:val="3BF770DE"/>
    <w:rsid w:val="3E923A65"/>
    <w:rsid w:val="43943B04"/>
    <w:rsid w:val="447C69A7"/>
    <w:rsid w:val="44F97CA4"/>
    <w:rsid w:val="4B5C6F5D"/>
    <w:rsid w:val="4C3350DF"/>
    <w:rsid w:val="522F6D77"/>
    <w:rsid w:val="540B734E"/>
    <w:rsid w:val="54334654"/>
    <w:rsid w:val="55A41A91"/>
    <w:rsid w:val="5B9640B4"/>
    <w:rsid w:val="5C26379A"/>
    <w:rsid w:val="5FAB635B"/>
    <w:rsid w:val="60E00403"/>
    <w:rsid w:val="641F5B7E"/>
    <w:rsid w:val="66F10A4A"/>
    <w:rsid w:val="67F0409F"/>
    <w:rsid w:val="69C50FEB"/>
    <w:rsid w:val="6C6457E9"/>
    <w:rsid w:val="6DBC51E2"/>
    <w:rsid w:val="6EBE3907"/>
    <w:rsid w:val="72C23739"/>
    <w:rsid w:val="7759456C"/>
    <w:rsid w:val="7CC42CF9"/>
    <w:rsid w:val="7D2F7E71"/>
    <w:rsid w:val="7D586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9"/>
    <w:qFormat/>
    <w:uiPriority w:val="0"/>
    <w:pPr>
      <w:keepNext/>
      <w:keepLines/>
      <w:jc w:val="left"/>
      <w:outlineLvl w:val="0"/>
    </w:pPr>
    <w:rPr>
      <w:rFonts w:ascii="Times New Roman" w:hAnsi="Times New Roman" w:eastAsia="宋体"/>
      <w:b/>
      <w:bCs/>
      <w:kern w:val="44"/>
      <w:sz w:val="32"/>
      <w:szCs w:val="44"/>
    </w:rPr>
  </w:style>
  <w:style w:type="paragraph" w:styleId="3">
    <w:name w:val="heading 2"/>
    <w:basedOn w:val="1"/>
    <w:next w:val="1"/>
    <w:link w:val="17"/>
    <w:unhideWhenUsed/>
    <w:qFormat/>
    <w:uiPriority w:val="0"/>
    <w:pPr>
      <w:keepNext/>
      <w:keepLines/>
      <w:spacing w:before="260" w:beforeLines="0" w:beforeAutospacing="0" w:after="260" w:afterLines="0" w:afterAutospacing="0" w:line="500" w:lineRule="exact"/>
      <w:outlineLvl w:val="1"/>
    </w:pPr>
    <w:rPr>
      <w:rFonts w:ascii="Arial" w:hAnsi="Arial" w:eastAsia="黑体"/>
      <w:b/>
      <w:sz w:val="32"/>
    </w:rPr>
  </w:style>
  <w:style w:type="paragraph" w:styleId="4">
    <w:name w:val="heading 3"/>
    <w:basedOn w:val="1"/>
    <w:next w:val="1"/>
    <w:link w:val="18"/>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pPr>
    <w:rPr>
      <w:rFonts w:ascii="Times New Roman" w:hAnsi="Times New Roman" w:eastAsia="宋体" w:cs="Times New Roman"/>
    </w:rPr>
  </w:style>
  <w:style w:type="paragraph" w:styleId="6">
    <w:name w:val="Body Text Indent"/>
    <w:basedOn w:val="1"/>
    <w:qFormat/>
    <w:uiPriority w:val="0"/>
    <w:pPr>
      <w:spacing w:after="120" w:afterLines="0" w:afterAutospacing="0"/>
      <w:ind w:left="420" w:leftChars="200"/>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pPr>
      <w:widowControl/>
      <w:spacing w:after="100" w:line="259" w:lineRule="auto"/>
      <w:jc w:val="left"/>
    </w:pPr>
    <w:rPr>
      <w:rFonts w:cs="Times New Roman"/>
      <w:kern w:val="0"/>
      <w:sz w:val="22"/>
    </w:rPr>
  </w:style>
  <w:style w:type="paragraph" w:styleId="11">
    <w:name w:val="toc 2"/>
    <w:basedOn w:val="1"/>
    <w:next w:val="1"/>
    <w:qFormat/>
    <w:uiPriority w:val="0"/>
    <w:pPr>
      <w:ind w:left="420" w:leftChars="200"/>
    </w:pPr>
  </w:style>
  <w:style w:type="paragraph" w:styleId="12">
    <w:name w:val="Body Text First Indent 2"/>
    <w:basedOn w:val="1"/>
    <w:next w:val="1"/>
    <w:qFormat/>
    <w:uiPriority w:val="0"/>
    <w:pPr>
      <w:spacing w:after="120"/>
      <w:ind w:left="420" w:leftChars="200" w:firstLine="420" w:firstLineChars="200"/>
    </w:pPr>
    <w:rPr>
      <w:rFonts w:ascii="Times New Roman" w:hAnsi="Times New Roman"/>
      <w:b/>
      <w:bCs/>
      <w:sz w:val="24"/>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customStyle="1" w:styleId="17">
    <w:name w:val="标题 2 Char"/>
    <w:link w:val="3"/>
    <w:qFormat/>
    <w:uiPriority w:val="0"/>
    <w:rPr>
      <w:rFonts w:ascii="Arial" w:hAnsi="Arial" w:eastAsia="黑体"/>
      <w:b/>
      <w:sz w:val="32"/>
    </w:rPr>
  </w:style>
  <w:style w:type="character" w:customStyle="1" w:styleId="18">
    <w:name w:val="标题 3 Char"/>
    <w:link w:val="4"/>
    <w:qFormat/>
    <w:uiPriority w:val="0"/>
    <w:rPr>
      <w:b/>
      <w:sz w:val="32"/>
    </w:rPr>
  </w:style>
  <w:style w:type="character" w:customStyle="1" w:styleId="19">
    <w:name w:val="标题 1 Char"/>
    <w:link w:val="2"/>
    <w:qFormat/>
    <w:uiPriority w:val="0"/>
    <w:rPr>
      <w:rFonts w:ascii="Times New Roman" w:hAnsi="Times New Roman" w:eastAsia="宋体" w:cs="Times New Roman"/>
      <w:b/>
      <w:kern w:val="44"/>
      <w:sz w:val="32"/>
    </w:rPr>
  </w:style>
  <w:style w:type="paragraph" w:customStyle="1" w:styleId="20">
    <w:name w:val="Char"/>
    <w:basedOn w:val="1"/>
    <w:qFormat/>
    <w:uiPriority w:val="0"/>
  </w:style>
  <w:style w:type="paragraph" w:customStyle="1" w:styleId="21">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22">
    <w:name w:val="WPSOffice手动目录 1"/>
    <w:qFormat/>
    <w:uiPriority w:val="0"/>
    <w:pPr>
      <w:ind w:leftChars="0"/>
    </w:pPr>
    <w:rPr>
      <w:rFonts w:asciiTheme="minorHAnsi" w:hAnsiTheme="minorHAnsi" w:eastAsiaTheme="minorEastAsia" w:cstheme="minorBidi"/>
      <w:sz w:val="20"/>
      <w:szCs w:val="20"/>
    </w:rPr>
  </w:style>
  <w:style w:type="paragraph" w:customStyle="1" w:styleId="23">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8127</Words>
  <Characters>8750</Characters>
  <Lines>0</Lines>
  <Paragraphs>0</Paragraphs>
  <TotalTime>144</TotalTime>
  <ScaleCrop>false</ScaleCrop>
  <LinksUpToDate>false</LinksUpToDate>
  <CharactersWithSpaces>8886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2022-02-18T23:54:00Z</dcterms:created>
  <dc:creator>hp</dc:creator>
  <cp:lastModifiedBy>艳丽</cp:lastModifiedBy>
  <cp:lastPrinted>2025-03-11T01:45:00Z</cp:lastPrinted>
  <dcterms:modified xsi:type="dcterms:W3CDTF">2025-03-11T06:50:05Z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20FA7A01BF014E2E8A4850B83029F4EB</vt:lpwstr>
  </property>
  <property fmtid="{D5CDD505-2E9C-101B-9397-08002B2CF9AE}" pid="4" name="KSOTemplateDocerSaveRecord">
    <vt:lpwstr>eyJoZGlkIjoiN2YzZmQxNTM3ZWIwNDgyZjRlMTg5NzhjMGE4NGMxZmYiLCJ1c2VySWQiOiIzNjQ2MzkzODMifQ==</vt:lpwstr>
  </property>
</Properties>
</file>